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41C8" w14:textId="77777777" w:rsidR="00970943" w:rsidRDefault="007D7C29">
      <w:pPr>
        <w:pStyle w:val="Heading2"/>
        <w:jc w:val="right"/>
        <w:rPr>
          <w:sz w:val="24"/>
          <w:szCs w:val="24"/>
        </w:rPr>
      </w:pPr>
      <w:bookmarkStart w:id="0" w:name="_gjdgxs" w:colFirst="0" w:colLast="0"/>
      <w:bookmarkEnd w:id="0"/>
      <w:r>
        <w:rPr>
          <w:sz w:val="24"/>
          <w:szCs w:val="24"/>
        </w:rPr>
        <w:t>8/14/17</w:t>
      </w:r>
    </w:p>
    <w:p w14:paraId="75F96EAB" w14:textId="77777777" w:rsidR="00970943" w:rsidRDefault="007D7C29">
      <w:pPr>
        <w:pStyle w:val="Heading2"/>
      </w:pPr>
      <w:r>
        <w:t>COMMITTEES</w:t>
      </w:r>
      <w:bookmarkStart w:id="1" w:name="_GoBack"/>
      <w:bookmarkEnd w:id="1"/>
    </w:p>
    <w:p w14:paraId="7D178E3A" w14:textId="77777777" w:rsidR="00970943" w:rsidRDefault="007D7C29">
      <w:pPr>
        <w:jc w:val="both"/>
        <w:rPr>
          <w:rFonts w:ascii="Arial" w:eastAsia="Arial" w:hAnsi="Arial" w:cs="Arial"/>
        </w:rPr>
      </w:pPr>
      <w:r>
        <w:rPr>
          <w:rFonts w:ascii="Arial" w:eastAsia="Arial" w:hAnsi="Arial" w:cs="Arial"/>
        </w:rPr>
        <w:t>The Board of Directors may designate from among its members one or more standing or special committees as may from time to time be deemed suitable, necessary, or convenient to aid in accomplishing the purposes of the Corporation.  The duties and powers of any such committee shall be as determined by the Board of Directors from time to time.  The Board may delegate its powers and authority relating to the management of the business and affairs of the Corporation to such extent, and on such terms and conditions, as the Board of Directors shall determine to be appropriate and in furtherance of the purposes of the Corporation; provided, however, that no such committee shall have authority as to the following matters:</w:t>
      </w:r>
    </w:p>
    <w:p w14:paraId="0BB84DDF" w14:textId="77777777" w:rsidR="00970943" w:rsidRDefault="007D7C29">
      <w:pPr>
        <w:numPr>
          <w:ilvl w:val="0"/>
          <w:numId w:val="1"/>
        </w:numPr>
        <w:contextualSpacing/>
        <w:jc w:val="both"/>
        <w:rPr>
          <w:rFonts w:ascii="Arial" w:eastAsia="Arial" w:hAnsi="Arial" w:cs="Arial"/>
        </w:rPr>
      </w:pPr>
      <w:r>
        <w:rPr>
          <w:rFonts w:ascii="Arial" w:eastAsia="Arial" w:hAnsi="Arial" w:cs="Arial"/>
        </w:rPr>
        <w:t>The filling of vacancies on the Board of Directors or a committee thereof;</w:t>
      </w:r>
    </w:p>
    <w:p w14:paraId="38900ECC" w14:textId="77777777" w:rsidR="00970943" w:rsidRDefault="007D7C29">
      <w:pPr>
        <w:numPr>
          <w:ilvl w:val="0"/>
          <w:numId w:val="1"/>
        </w:numPr>
        <w:contextualSpacing/>
        <w:jc w:val="both"/>
        <w:rPr>
          <w:rFonts w:ascii="Arial" w:eastAsia="Arial" w:hAnsi="Arial" w:cs="Arial"/>
        </w:rPr>
      </w:pPr>
      <w:r>
        <w:rPr>
          <w:rFonts w:ascii="Arial" w:eastAsia="Arial" w:hAnsi="Arial" w:cs="Arial"/>
        </w:rPr>
        <w:t>The amendment or repeal of these Bylaws or the adoption of new bylaws of the Corporation;</w:t>
      </w:r>
    </w:p>
    <w:p w14:paraId="09947716" w14:textId="77777777" w:rsidR="00970943" w:rsidRDefault="007D7C29">
      <w:pPr>
        <w:numPr>
          <w:ilvl w:val="0"/>
          <w:numId w:val="1"/>
        </w:numPr>
        <w:contextualSpacing/>
        <w:jc w:val="both"/>
        <w:rPr>
          <w:rFonts w:ascii="Arial" w:eastAsia="Arial" w:hAnsi="Arial" w:cs="Arial"/>
        </w:rPr>
      </w:pPr>
      <w:r>
        <w:rPr>
          <w:rFonts w:ascii="Arial" w:eastAsia="Arial" w:hAnsi="Arial" w:cs="Arial"/>
        </w:rPr>
        <w:t>The amendment or repeal of any resolution of the Board of Directors which by the terms thereof shall not be so able to be amended or repealed;</w:t>
      </w:r>
    </w:p>
    <w:p w14:paraId="1FA94BB4" w14:textId="77777777" w:rsidR="00970943" w:rsidRDefault="007D7C29">
      <w:pPr>
        <w:numPr>
          <w:ilvl w:val="0"/>
          <w:numId w:val="1"/>
        </w:numPr>
        <w:contextualSpacing/>
        <w:jc w:val="both"/>
        <w:rPr>
          <w:rFonts w:ascii="Arial" w:eastAsia="Arial" w:hAnsi="Arial" w:cs="Arial"/>
        </w:rPr>
      </w:pPr>
      <w:r>
        <w:rPr>
          <w:rFonts w:ascii="Arial" w:eastAsia="Arial" w:hAnsi="Arial" w:cs="Arial"/>
        </w:rPr>
        <w:t>Causing the Corporation to incur debt, or pledging tangible or intangible assets of Corporation; or</w:t>
      </w:r>
    </w:p>
    <w:p w14:paraId="3CCA0185" w14:textId="77777777" w:rsidR="00970943" w:rsidRDefault="007D7C29">
      <w:pPr>
        <w:numPr>
          <w:ilvl w:val="0"/>
          <w:numId w:val="1"/>
        </w:numPr>
        <w:contextualSpacing/>
        <w:jc w:val="both"/>
        <w:rPr>
          <w:rFonts w:ascii="Arial" w:eastAsia="Arial" w:hAnsi="Arial" w:cs="Arial"/>
        </w:rPr>
      </w:pPr>
      <w:r>
        <w:rPr>
          <w:rFonts w:ascii="Arial" w:eastAsia="Arial" w:hAnsi="Arial" w:cs="Arial"/>
        </w:rPr>
        <w:t>Transferring, by sale or lease, any real property of the Corporation.</w:t>
      </w:r>
    </w:p>
    <w:p w14:paraId="2CA92FF2" w14:textId="77777777" w:rsidR="00970943" w:rsidRDefault="007D7C29">
      <w:pPr>
        <w:pStyle w:val="Heading3"/>
        <w:jc w:val="both"/>
      </w:pPr>
      <w:r>
        <w:t>FINANCE COMMITTEE</w:t>
      </w:r>
    </w:p>
    <w:p w14:paraId="71A12E94" w14:textId="77777777" w:rsidR="00970943" w:rsidRDefault="007D7C29">
      <w:pPr>
        <w:jc w:val="both"/>
        <w:rPr>
          <w:rFonts w:ascii="Arial" w:eastAsia="Arial" w:hAnsi="Arial" w:cs="Arial"/>
        </w:rPr>
      </w:pPr>
      <w:r>
        <w:rPr>
          <w:rFonts w:ascii="Arial" w:eastAsia="Arial" w:hAnsi="Arial" w:cs="Arial"/>
        </w:rPr>
        <w:t>The Finance Committee (sometimes known as Budget and Finance Committee) is often led by the Treasurer. The committee’s tasks are as follows:</w:t>
      </w:r>
    </w:p>
    <w:p w14:paraId="4F84D189" w14:textId="77777777" w:rsidR="00970943" w:rsidRDefault="00970943">
      <w:pPr>
        <w:jc w:val="both"/>
        <w:rPr>
          <w:rFonts w:ascii="Arial" w:eastAsia="Arial" w:hAnsi="Arial" w:cs="Arial"/>
        </w:rPr>
      </w:pPr>
    </w:p>
    <w:p w14:paraId="356752A8" w14:textId="77777777" w:rsidR="00970943" w:rsidRDefault="007D7C29">
      <w:pPr>
        <w:numPr>
          <w:ilvl w:val="0"/>
          <w:numId w:val="2"/>
        </w:numPr>
        <w:contextualSpacing/>
        <w:jc w:val="both"/>
        <w:rPr>
          <w:rFonts w:ascii="Arial" w:eastAsia="Arial" w:hAnsi="Arial" w:cs="Arial"/>
        </w:rPr>
      </w:pPr>
      <w:r>
        <w:rPr>
          <w:rFonts w:ascii="Arial" w:eastAsia="Arial" w:hAnsi="Arial" w:cs="Arial"/>
        </w:rPr>
        <w:t xml:space="preserve">To review budgets initially prepared by staff, to help develop appropriate procedures for budget preparations, and on a consistency between the budget and the </w:t>
      </w:r>
      <w:proofErr w:type="spellStart"/>
      <w:r>
        <w:rPr>
          <w:rFonts w:ascii="Arial" w:eastAsia="Arial" w:hAnsi="Arial" w:cs="Arial"/>
        </w:rPr>
        <w:t>organisation's</w:t>
      </w:r>
      <w:proofErr w:type="spellEnd"/>
      <w:r>
        <w:rPr>
          <w:rFonts w:ascii="Arial" w:eastAsia="Arial" w:hAnsi="Arial" w:cs="Arial"/>
        </w:rPr>
        <w:t xml:space="preserve"> plans;</w:t>
      </w:r>
    </w:p>
    <w:p w14:paraId="57DAC15C" w14:textId="77777777" w:rsidR="00970943" w:rsidRDefault="007D7C29">
      <w:pPr>
        <w:numPr>
          <w:ilvl w:val="0"/>
          <w:numId w:val="2"/>
        </w:numPr>
        <w:contextualSpacing/>
        <w:jc w:val="both"/>
        <w:rPr>
          <w:rFonts w:ascii="Arial" w:eastAsia="Arial" w:hAnsi="Arial" w:cs="Arial"/>
        </w:rPr>
      </w:pPr>
      <w:r>
        <w:rPr>
          <w:rFonts w:ascii="Arial" w:eastAsia="Arial" w:hAnsi="Arial" w:cs="Arial"/>
        </w:rPr>
        <w:t>To ensure regular and accurate monitoring and accountability for funds and report to the Board on any financial irregularities and concerns;</w:t>
      </w:r>
    </w:p>
    <w:p w14:paraId="7E38C773" w14:textId="77777777" w:rsidR="00970943" w:rsidRDefault="007D7C29">
      <w:pPr>
        <w:numPr>
          <w:ilvl w:val="0"/>
          <w:numId w:val="2"/>
        </w:numPr>
        <w:contextualSpacing/>
        <w:jc w:val="both"/>
        <w:rPr>
          <w:rFonts w:ascii="Arial" w:eastAsia="Arial" w:hAnsi="Arial" w:cs="Arial"/>
        </w:rPr>
      </w:pPr>
      <w:r>
        <w:rPr>
          <w:rFonts w:ascii="Arial" w:eastAsia="Arial" w:hAnsi="Arial" w:cs="Arial"/>
        </w:rPr>
        <w:t>To recommend financial guidelines to the Board (such as to establish a reserve fund or to obtain a line of credit for a specified amount);</w:t>
      </w:r>
    </w:p>
    <w:p w14:paraId="63488F98" w14:textId="77777777" w:rsidR="00970943" w:rsidRDefault="007D7C29">
      <w:pPr>
        <w:numPr>
          <w:ilvl w:val="0"/>
          <w:numId w:val="2"/>
        </w:numPr>
        <w:contextualSpacing/>
        <w:jc w:val="both"/>
        <w:rPr>
          <w:rFonts w:ascii="Arial" w:eastAsia="Arial" w:hAnsi="Arial" w:cs="Arial"/>
        </w:rPr>
      </w:pPr>
      <w:r>
        <w:rPr>
          <w:rFonts w:ascii="Arial" w:eastAsia="Arial" w:hAnsi="Arial" w:cs="Arial"/>
        </w:rPr>
        <w:t>To work with staff to design financial reports and ensure that reports are accurate and timely;</w:t>
      </w:r>
    </w:p>
    <w:p w14:paraId="71B9AE21" w14:textId="77777777" w:rsidR="00970943" w:rsidRDefault="007D7C29">
      <w:pPr>
        <w:numPr>
          <w:ilvl w:val="0"/>
          <w:numId w:val="2"/>
        </w:numPr>
        <w:contextualSpacing/>
        <w:jc w:val="both"/>
        <w:rPr>
          <w:rFonts w:ascii="Arial" w:eastAsia="Arial" w:hAnsi="Arial" w:cs="Arial"/>
        </w:rPr>
      </w:pPr>
      <w:r>
        <w:rPr>
          <w:rFonts w:ascii="Arial" w:eastAsia="Arial" w:hAnsi="Arial" w:cs="Arial"/>
        </w:rPr>
        <w:t>To oversee short and long-term investments;</w:t>
      </w:r>
    </w:p>
    <w:p w14:paraId="7B5A281D" w14:textId="77777777" w:rsidR="00970943" w:rsidRDefault="007D7C29">
      <w:pPr>
        <w:numPr>
          <w:ilvl w:val="0"/>
          <w:numId w:val="2"/>
        </w:numPr>
        <w:contextualSpacing/>
        <w:jc w:val="both"/>
        <w:rPr>
          <w:rFonts w:ascii="Arial" w:eastAsia="Arial" w:hAnsi="Arial" w:cs="Arial"/>
        </w:rPr>
      </w:pPr>
      <w:r>
        <w:rPr>
          <w:rFonts w:ascii="Arial" w:eastAsia="Arial" w:hAnsi="Arial" w:cs="Arial"/>
        </w:rPr>
        <w:t>To advise the executive director and other appropriate staff on financial priorities and information systems, depending on committee member expertise.</w:t>
      </w:r>
    </w:p>
    <w:sectPr w:rsidR="0097094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0CF12" w14:textId="77777777" w:rsidR="005A5304" w:rsidRDefault="005A5304">
      <w:r>
        <w:separator/>
      </w:r>
    </w:p>
  </w:endnote>
  <w:endnote w:type="continuationSeparator" w:id="0">
    <w:p w14:paraId="63E4A929" w14:textId="77777777" w:rsidR="005A5304" w:rsidRDefault="005A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D42961" w14:textId="77777777" w:rsidR="00970943" w:rsidRDefault="007D7C29">
    <w:pPr>
      <w:tabs>
        <w:tab w:val="center" w:pos="4320"/>
        <w:tab w:val="right" w:pos="8640"/>
      </w:tabs>
      <w:jc w:val="right"/>
    </w:pPr>
    <w:r>
      <w:fldChar w:fldCharType="begin"/>
    </w:r>
    <w:r>
      <w:instrText>PAGE</w:instrText>
    </w:r>
    <w:r>
      <w:fldChar w:fldCharType="end"/>
    </w:r>
  </w:p>
  <w:p w14:paraId="134417FA" w14:textId="77777777" w:rsidR="00970943" w:rsidRDefault="00970943">
    <w:pPr>
      <w:tabs>
        <w:tab w:val="center" w:pos="4320"/>
        <w:tab w:val="right" w:pos="8640"/>
      </w:tabs>
      <w:spacing w:after="72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FE5AC5" w14:textId="77777777" w:rsidR="00970943" w:rsidRDefault="007D7C29">
    <w:pPr>
      <w:tabs>
        <w:tab w:val="center" w:pos="4320"/>
        <w:tab w:val="right" w:pos="8640"/>
      </w:tabs>
      <w:jc w:val="right"/>
    </w:pPr>
    <w:r>
      <w:fldChar w:fldCharType="begin"/>
    </w:r>
    <w:r>
      <w:instrText>PAGE</w:instrText>
    </w:r>
    <w:r>
      <w:fldChar w:fldCharType="separate"/>
    </w:r>
    <w:r w:rsidR="00DA1545">
      <w:rPr>
        <w:noProof/>
      </w:rPr>
      <w:t>1</w:t>
    </w:r>
    <w:r>
      <w:fldChar w:fldCharType="end"/>
    </w:r>
  </w:p>
  <w:p w14:paraId="21ED21D1" w14:textId="77777777" w:rsidR="00970943" w:rsidRDefault="00970943">
    <w:pPr>
      <w:tabs>
        <w:tab w:val="center" w:pos="4320"/>
        <w:tab w:val="right" w:pos="8640"/>
      </w:tabs>
      <w:spacing w:after="720"/>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8113AD3" w14:textId="77777777" w:rsidR="006446AD" w:rsidRDefault="006446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D61DA" w14:textId="77777777" w:rsidR="005A5304" w:rsidRDefault="005A5304">
      <w:r>
        <w:separator/>
      </w:r>
    </w:p>
  </w:footnote>
  <w:footnote w:type="continuationSeparator" w:id="0">
    <w:p w14:paraId="0356F50B" w14:textId="77777777" w:rsidR="005A5304" w:rsidRDefault="005A5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3E87B4" w14:textId="77777777" w:rsidR="006446AD" w:rsidRDefault="005A5304">
    <w:pPr>
      <w:pStyle w:val="Header"/>
    </w:pPr>
    <w:r>
      <w:rPr>
        <w:noProof/>
      </w:rPr>
      <w:pict w14:anchorId="5354216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6.8pt;height:152.25pt;rotation:315;z-index:-251649024;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Pr>
        <w:noProof/>
      </w:rPr>
      <w:pict w14:anchorId="5D926666">
        <v:shape id="PowerPlusWaterMarkObject2" o:spid="_x0000_s2050" type="#_x0000_t136" style="position:absolute;margin-left:0;margin-top:0;width:456.8pt;height:152.25pt;rotation:315;z-index:-251655168;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Pr>
        <w:noProof/>
      </w:rPr>
      <w:pict w14:anchorId="546F4C2B">
        <v:shape id="PowerPlusWaterMarkObject1" o:spid="_x0000_s2049" type="#_x0000_t136" style="position:absolute;margin-left:0;margin-top:0;width:456.8pt;height:152.25pt;rotation:315;z-index:-251657216;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EC781E9" w14:textId="77777777" w:rsidR="00970943" w:rsidRDefault="005A5304">
    <w:pPr>
      <w:tabs>
        <w:tab w:val="center" w:pos="4320"/>
        <w:tab w:val="right" w:pos="8640"/>
      </w:tabs>
      <w:spacing w:before="720"/>
    </w:pPr>
    <w:r>
      <w:rPr>
        <w:noProof/>
      </w:rPr>
      <w:pict w14:anchorId="4CC9E3C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6.8pt;height:152.25pt;rotation:315;z-index:-251651072;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sidR="007D7C29">
      <w:rPr>
        <w:noProof/>
      </w:rPr>
      <w:drawing>
        <wp:inline distT="0" distB="0" distL="0" distR="0" wp14:anchorId="783491DF" wp14:editId="13CD21E2">
          <wp:extent cx="5486400" cy="9004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86400" cy="900430"/>
                  </a:xfrm>
                  <a:prstGeom prst="rect">
                    <a:avLst/>
                  </a:prstGeom>
                  <a:ln/>
                </pic:spPr>
              </pic:pic>
            </a:graphicData>
          </a:graphic>
        </wp:inline>
      </w:drawing>
    </w:r>
  </w:p>
  <w:p w14:paraId="46CFC90C" w14:textId="77777777" w:rsidR="00970943" w:rsidRDefault="00970943">
    <w:pPr>
      <w:tabs>
        <w:tab w:val="center" w:pos="4320"/>
        <w:tab w:val="right" w:pos="864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AB5553" w14:textId="77777777" w:rsidR="006446AD" w:rsidRDefault="005A5304">
    <w:pPr>
      <w:pStyle w:val="Header"/>
    </w:pPr>
    <w:r>
      <w:rPr>
        <w:noProof/>
      </w:rPr>
      <w:pict w14:anchorId="3F9996F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56.8pt;height:152.25pt;rotation:315;z-index:-251646976;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Pr>
        <w:noProof/>
      </w:rPr>
      <w:pict w14:anchorId="024186F5">
        <v:shape id="PowerPlusWaterMarkObject3" o:spid="_x0000_s2051" type="#_x0000_t136" style="position:absolute;margin-left:0;margin-top:0;width:456.8pt;height:152.25pt;rotation:315;z-index:-251653120;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2893"/>
    <w:multiLevelType w:val="multilevel"/>
    <w:tmpl w:val="7E9CC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644106"/>
    <w:multiLevelType w:val="multilevel"/>
    <w:tmpl w:val="A4DCF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970943"/>
    <w:rsid w:val="005A5304"/>
    <w:rsid w:val="006446AD"/>
    <w:rsid w:val="007D7C29"/>
    <w:rsid w:val="008653C1"/>
    <w:rsid w:val="00970943"/>
    <w:rsid w:val="00DA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EFBB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446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6AD"/>
    <w:rPr>
      <w:rFonts w:ascii="Times New Roman" w:hAnsi="Times New Roman" w:cs="Times New Roman"/>
      <w:sz w:val="18"/>
      <w:szCs w:val="18"/>
    </w:rPr>
  </w:style>
  <w:style w:type="paragraph" w:styleId="Header">
    <w:name w:val="header"/>
    <w:basedOn w:val="Normal"/>
    <w:link w:val="HeaderChar"/>
    <w:uiPriority w:val="99"/>
    <w:unhideWhenUsed/>
    <w:rsid w:val="006446AD"/>
    <w:pPr>
      <w:tabs>
        <w:tab w:val="center" w:pos="4680"/>
        <w:tab w:val="right" w:pos="9360"/>
      </w:tabs>
    </w:pPr>
  </w:style>
  <w:style w:type="character" w:customStyle="1" w:styleId="HeaderChar">
    <w:name w:val="Header Char"/>
    <w:basedOn w:val="DefaultParagraphFont"/>
    <w:link w:val="Header"/>
    <w:uiPriority w:val="99"/>
    <w:rsid w:val="006446AD"/>
  </w:style>
  <w:style w:type="paragraph" w:styleId="Footer">
    <w:name w:val="footer"/>
    <w:basedOn w:val="Normal"/>
    <w:link w:val="FooterChar"/>
    <w:uiPriority w:val="99"/>
    <w:unhideWhenUsed/>
    <w:rsid w:val="006446AD"/>
    <w:pPr>
      <w:tabs>
        <w:tab w:val="center" w:pos="4680"/>
        <w:tab w:val="right" w:pos="9360"/>
      </w:tabs>
    </w:pPr>
  </w:style>
  <w:style w:type="character" w:customStyle="1" w:styleId="FooterChar">
    <w:name w:val="Footer Char"/>
    <w:basedOn w:val="DefaultParagraphFont"/>
    <w:link w:val="Footer"/>
    <w:uiPriority w:val="99"/>
    <w:rsid w:val="0064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Scrimgeour</cp:lastModifiedBy>
  <cp:revision>3</cp:revision>
  <cp:lastPrinted>2017-10-27T14:53:00Z</cp:lastPrinted>
  <dcterms:created xsi:type="dcterms:W3CDTF">2017-10-12T15:53:00Z</dcterms:created>
  <dcterms:modified xsi:type="dcterms:W3CDTF">2017-10-27T16:56:00Z</dcterms:modified>
</cp:coreProperties>
</file>