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5C012" w14:textId="77777777" w:rsidR="00EB6254" w:rsidRDefault="004C59AF">
      <w:pPr>
        <w:pStyle w:val="Heading2"/>
        <w:jc w:val="right"/>
      </w:pPr>
      <w:bookmarkStart w:id="0" w:name="_gjdgxs" w:colFirst="0" w:colLast="0"/>
      <w:bookmarkStart w:id="1" w:name="_GoBack"/>
      <w:bookmarkEnd w:id="0"/>
      <w:bookmarkEnd w:id="1"/>
      <w:r>
        <w:t>8/15/17</w:t>
      </w:r>
    </w:p>
    <w:p w14:paraId="7B863A9E" w14:textId="77777777" w:rsidR="00EB6254" w:rsidRDefault="004C59AF">
      <w:pPr>
        <w:pStyle w:val="Heading2"/>
        <w:jc w:val="both"/>
      </w:pPr>
      <w:r>
        <w:t>Accountability Lab, Inc.</w:t>
      </w:r>
    </w:p>
    <w:p w14:paraId="6783B58F" w14:textId="77777777" w:rsidR="00EB6254" w:rsidRDefault="004C59AF">
      <w:pPr>
        <w:pStyle w:val="Heading2"/>
        <w:jc w:val="both"/>
      </w:pPr>
      <w:r>
        <w:t>Board Member Job Description</w:t>
      </w:r>
    </w:p>
    <w:p w14:paraId="42D91A06" w14:textId="77777777" w:rsidR="00EB6254" w:rsidRDefault="00EB6254">
      <w:pPr>
        <w:pStyle w:val="Heading2"/>
        <w:spacing w:before="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30j0zll" w:colFirst="0" w:colLast="0"/>
      <w:bookmarkEnd w:id="2"/>
    </w:p>
    <w:p w14:paraId="1DC82150" w14:textId="77777777" w:rsidR="00EB6254" w:rsidRDefault="004C59AF">
      <w:pPr>
        <w:pStyle w:val="Heading2"/>
        <w:spacing w:before="0"/>
        <w:jc w:val="both"/>
        <w:rPr>
          <w:rFonts w:ascii="Arial" w:eastAsia="Arial" w:hAnsi="Arial" w:cs="Arial"/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Purpose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b w:val="0"/>
          <w:color w:val="000000"/>
          <w:sz w:val="24"/>
          <w:szCs w:val="24"/>
        </w:rPr>
        <w:t>The Board of Directors of a nonprofit corporation is responsible for oversight of the organization in accordance with the organization’s mission, including monitoring operations and finances, developing strategy, evaluating the organization’s performance a</w:t>
      </w:r>
      <w:r>
        <w:rPr>
          <w:rFonts w:ascii="Arial" w:eastAsia="Arial" w:hAnsi="Arial" w:cs="Arial"/>
          <w:b w:val="0"/>
          <w:color w:val="000000"/>
          <w:sz w:val="24"/>
          <w:szCs w:val="24"/>
        </w:rPr>
        <w:t xml:space="preserve">nd planning for the future.   Nonprofit board members are, by law, subject to fiduciary </w:t>
      </w:r>
      <w:proofErr w:type="gramStart"/>
      <w:r>
        <w:rPr>
          <w:rFonts w:ascii="Arial" w:eastAsia="Arial" w:hAnsi="Arial" w:cs="Arial"/>
          <w:b w:val="0"/>
          <w:color w:val="000000"/>
          <w:sz w:val="24"/>
          <w:szCs w:val="24"/>
        </w:rPr>
        <w:t>duties ,</w:t>
      </w:r>
      <w:proofErr w:type="gramEnd"/>
      <w:r>
        <w:rPr>
          <w:rFonts w:ascii="Arial" w:eastAsia="Arial" w:hAnsi="Arial" w:cs="Arial"/>
          <w:b w:val="0"/>
          <w:color w:val="000000"/>
          <w:sz w:val="24"/>
          <w:szCs w:val="24"/>
        </w:rPr>
        <w:t xml:space="preserve"> to protect the organization and the public’s interest in the organization. </w:t>
      </w:r>
    </w:p>
    <w:p w14:paraId="21B2B855" w14:textId="77777777" w:rsidR="00EB6254" w:rsidRDefault="00EB6254">
      <w:pPr>
        <w:pStyle w:val="Heading2"/>
        <w:spacing w:befor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056462E" w14:textId="77777777" w:rsidR="00EB6254" w:rsidRDefault="004C59AF">
      <w:pPr>
        <w:pStyle w:val="Heading2"/>
        <w:spacing w:before="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Fiduciary Duties </w:t>
      </w:r>
    </w:p>
    <w:p w14:paraId="68CF407B" w14:textId="77777777" w:rsidR="00EB6254" w:rsidRDefault="004C59AF">
      <w:pPr>
        <w:pStyle w:val="Heading2"/>
        <w:spacing w:before="0"/>
        <w:jc w:val="both"/>
        <w:rPr>
          <w:b w:val="0"/>
          <w:color w:val="000000"/>
        </w:rPr>
      </w:pPr>
      <w:r>
        <w:rPr>
          <w:b w:val="0"/>
          <w:color w:val="000000"/>
        </w:rPr>
        <w:t>Nonprofit board members are generally subject to the following f</w:t>
      </w:r>
      <w:r>
        <w:rPr>
          <w:b w:val="0"/>
          <w:color w:val="000000"/>
        </w:rPr>
        <w:t>iduciary duties:</w:t>
      </w:r>
    </w:p>
    <w:p w14:paraId="71E98C7E" w14:textId="77777777" w:rsidR="00EB6254" w:rsidRDefault="004C59AF">
      <w:pPr>
        <w:pStyle w:val="Heading2"/>
        <w:numPr>
          <w:ilvl w:val="0"/>
          <w:numId w:val="2"/>
        </w:numPr>
        <w:spacing w:before="0"/>
        <w:contextualSpacing/>
        <w:jc w:val="both"/>
        <w:rPr>
          <w:b w:val="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  <w:u w:val="single"/>
        </w:rPr>
        <w:t>Duty of Care</w:t>
      </w:r>
      <w:r>
        <w:rPr>
          <w:rFonts w:ascii="Arial" w:eastAsia="Arial" w:hAnsi="Arial" w:cs="Arial"/>
          <w:b w:val="0"/>
          <w:color w:val="000000"/>
          <w:sz w:val="24"/>
          <w:szCs w:val="24"/>
        </w:rPr>
        <w:t>: To act in good faith, with the care an ordinarily prudent person in a similar position would exercise under similar circumstances.</w:t>
      </w:r>
    </w:p>
    <w:p w14:paraId="27BFA780" w14:textId="77777777" w:rsidR="00EB6254" w:rsidRDefault="004C59AF">
      <w:pPr>
        <w:pStyle w:val="Heading2"/>
        <w:numPr>
          <w:ilvl w:val="0"/>
          <w:numId w:val="2"/>
        </w:numPr>
        <w:spacing w:before="0"/>
        <w:contextualSpacing/>
        <w:jc w:val="both"/>
        <w:rPr>
          <w:rFonts w:ascii="Noto Sans Symbols" w:eastAsia="Noto Sans Symbols" w:hAnsi="Noto Sans Symbols" w:cs="Noto Sans Symbols"/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  <w:u w:val="single"/>
        </w:rPr>
        <w:t>Duty of Loyalty</w:t>
      </w:r>
      <w:r>
        <w:rPr>
          <w:rFonts w:ascii="Arial" w:eastAsia="Arial" w:hAnsi="Arial" w:cs="Arial"/>
          <w:b w:val="0"/>
          <w:color w:val="000000"/>
          <w:sz w:val="24"/>
          <w:szCs w:val="24"/>
        </w:rPr>
        <w:t>: To act in good faith in a manner that the board member reasonably believes to</w:t>
      </w:r>
      <w:r>
        <w:rPr>
          <w:rFonts w:ascii="Arial" w:eastAsia="Arial" w:hAnsi="Arial" w:cs="Arial"/>
          <w:b w:val="0"/>
          <w:color w:val="000000"/>
          <w:sz w:val="24"/>
          <w:szCs w:val="24"/>
        </w:rPr>
        <w:t xml:space="preserve"> be in the organization’s best interests.</w:t>
      </w:r>
    </w:p>
    <w:p w14:paraId="7E89985D" w14:textId="77777777" w:rsidR="00EB6254" w:rsidRDefault="004C59AF">
      <w:pPr>
        <w:pStyle w:val="Heading2"/>
        <w:numPr>
          <w:ilvl w:val="0"/>
          <w:numId w:val="2"/>
        </w:numPr>
        <w:spacing w:before="0"/>
        <w:contextualSpacing/>
        <w:jc w:val="both"/>
        <w:rPr>
          <w:rFonts w:ascii="Noto Sans Symbols" w:eastAsia="Noto Sans Symbols" w:hAnsi="Noto Sans Symbols" w:cs="Noto Sans Symbols"/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  <w:u w:val="single"/>
        </w:rPr>
        <w:t>Duty of Obedience</w:t>
      </w:r>
      <w:r>
        <w:rPr>
          <w:rFonts w:ascii="Arial" w:eastAsia="Arial" w:hAnsi="Arial" w:cs="Arial"/>
          <w:b w:val="0"/>
          <w:color w:val="000000"/>
          <w:sz w:val="24"/>
          <w:szCs w:val="24"/>
        </w:rPr>
        <w:t>: To act within the organization’s purposes (as set forth in the organization’s Certificate of Incorporation and mission statement) and to ensure that such purposes are pursued.</w:t>
      </w:r>
    </w:p>
    <w:p w14:paraId="7FA710D5" w14:textId="77777777" w:rsidR="00EB6254" w:rsidRDefault="00EB6254">
      <w:pPr>
        <w:pStyle w:val="Heading2"/>
        <w:spacing w:befor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73DAEB2" w14:textId="77777777" w:rsidR="00EB6254" w:rsidRDefault="00EB6254">
      <w:pPr>
        <w:pStyle w:val="Heading2"/>
        <w:spacing w:befor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463AB1F" w14:textId="77777777" w:rsidR="00EB6254" w:rsidRDefault="004C59AF">
      <w:pPr>
        <w:pStyle w:val="Heading2"/>
        <w:spacing w:befor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 Responsibilit</w:t>
      </w:r>
      <w:r>
        <w:rPr>
          <w:rFonts w:ascii="Arial" w:eastAsia="Arial" w:hAnsi="Arial" w:cs="Arial"/>
          <w:color w:val="000000"/>
          <w:sz w:val="24"/>
          <w:szCs w:val="24"/>
        </w:rPr>
        <w:t>ies</w:t>
      </w:r>
    </w:p>
    <w:p w14:paraId="1EA8908B" w14:textId="77777777" w:rsidR="00EB6254" w:rsidRDefault="004C59AF">
      <w:pPr>
        <w:pStyle w:val="Heading2"/>
        <w:numPr>
          <w:ilvl w:val="0"/>
          <w:numId w:val="2"/>
        </w:numPr>
        <w:spacing w:before="0"/>
        <w:contextualSpacing/>
        <w:jc w:val="both"/>
        <w:rPr>
          <w:b w:val="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Advance the mission of the organization.</w:t>
      </w:r>
    </w:p>
    <w:p w14:paraId="43BDD486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Actively promote the mission of the organization, contributing ideas and expertise.</w:t>
      </w:r>
    </w:p>
    <w:p w14:paraId="648F0313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Keep up-to-date on developments in the organization’s field.</w:t>
      </w:r>
    </w:p>
    <w:p w14:paraId="5D75ED68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Be informed about the organization’s mission, services, operations, activities, policies, and programs; inform others about the organization, and work to enhance the organization's public image.</w:t>
      </w:r>
    </w:p>
    <w:p w14:paraId="10219224" w14:textId="77777777" w:rsidR="00EB6254" w:rsidRDefault="004C59AF">
      <w:pPr>
        <w:pStyle w:val="Heading2"/>
        <w:numPr>
          <w:ilvl w:val="0"/>
          <w:numId w:val="2"/>
        </w:numPr>
        <w:spacing w:before="0"/>
        <w:contextualSpacing/>
        <w:jc w:val="both"/>
        <w:rPr>
          <w:b w:val="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Select and oversee the Executive Director through an appropri</w:t>
      </w:r>
      <w:r>
        <w:rPr>
          <w:rFonts w:ascii="Arial" w:eastAsia="Arial" w:hAnsi="Arial" w:cs="Arial"/>
          <w:b w:val="0"/>
          <w:color w:val="000000"/>
          <w:sz w:val="24"/>
          <w:szCs w:val="24"/>
        </w:rPr>
        <w:t xml:space="preserve">ate process. </w:t>
      </w:r>
    </w:p>
    <w:p w14:paraId="72F01D02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 xml:space="preserve">Provide ongoing support and guidance for the Executive Director. </w:t>
      </w:r>
    </w:p>
    <w:p w14:paraId="0095BCD5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 xml:space="preserve">Annually review performance and compensation. </w:t>
      </w:r>
    </w:p>
    <w:p w14:paraId="0B79E876" w14:textId="77777777" w:rsidR="00EB6254" w:rsidRDefault="004C59AF">
      <w:pPr>
        <w:pStyle w:val="Heading2"/>
        <w:numPr>
          <w:ilvl w:val="0"/>
          <w:numId w:val="2"/>
        </w:numPr>
        <w:spacing w:before="0"/>
        <w:contextualSpacing/>
        <w:jc w:val="both"/>
        <w:rPr>
          <w:b w:val="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 xml:space="preserve">Ensure effective organizational operations.  </w:t>
      </w:r>
    </w:p>
    <w:p w14:paraId="5ED7A95E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Review and monitor the organization’s programs, operations and services.</w:t>
      </w:r>
    </w:p>
    <w:p w14:paraId="128970D4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Participat</w:t>
      </w:r>
      <w:r>
        <w:rPr>
          <w:rFonts w:ascii="Arial" w:eastAsia="Arial" w:hAnsi="Arial" w:cs="Arial"/>
          <w:b w:val="0"/>
          <w:color w:val="000000"/>
          <w:sz w:val="24"/>
          <w:szCs w:val="24"/>
        </w:rPr>
        <w:t>e in the development of a strategic plan to accomplish the mission, oversee its implementation and evaluate its success.</w:t>
      </w:r>
    </w:p>
    <w:p w14:paraId="3DBA1F93" w14:textId="77777777" w:rsidR="00EB6254" w:rsidRDefault="004C59AF">
      <w:pPr>
        <w:pStyle w:val="Heading2"/>
        <w:numPr>
          <w:ilvl w:val="0"/>
          <w:numId w:val="2"/>
        </w:numPr>
        <w:spacing w:before="0"/>
        <w:contextualSpacing/>
        <w:jc w:val="both"/>
        <w:rPr>
          <w:b w:val="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Actively participate in all board activities.</w:t>
      </w:r>
    </w:p>
    <w:p w14:paraId="285A2AD6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Attend in person or by phone bi-monthly board meetings.</w:t>
      </w:r>
    </w:p>
    <w:p w14:paraId="262A24D1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lastRenderedPageBreak/>
        <w:t>Review agenda and supporting materials prior to board and committee meetings.</w:t>
      </w:r>
    </w:p>
    <w:p w14:paraId="39D32DEF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 xml:space="preserve">Serve on a committee and periodically take on special assignments. </w:t>
      </w:r>
    </w:p>
    <w:p w14:paraId="7595F2A7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Review the Board’s composition; suggest nominees to the board who can make significant contributions to the wo</w:t>
      </w:r>
      <w:r>
        <w:rPr>
          <w:rFonts w:ascii="Arial" w:eastAsia="Arial" w:hAnsi="Arial" w:cs="Arial"/>
          <w:b w:val="0"/>
          <w:color w:val="000000"/>
          <w:sz w:val="24"/>
          <w:szCs w:val="24"/>
        </w:rPr>
        <w:t xml:space="preserve">rk of the board and to the organization. </w:t>
      </w:r>
    </w:p>
    <w:p w14:paraId="148ADFCA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Assess the board’s performance.</w:t>
      </w:r>
    </w:p>
    <w:p w14:paraId="2EB80A3F" w14:textId="77777777" w:rsidR="00EB6254" w:rsidRDefault="004C59AF">
      <w:pPr>
        <w:pStyle w:val="Heading2"/>
        <w:numPr>
          <w:ilvl w:val="0"/>
          <w:numId w:val="2"/>
        </w:numPr>
        <w:spacing w:before="0"/>
        <w:contextualSpacing/>
        <w:jc w:val="both"/>
        <w:rPr>
          <w:b w:val="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Monitor financial performance; ensure adequate resources.</w:t>
      </w:r>
    </w:p>
    <w:p w14:paraId="656DDFC3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 xml:space="preserve">Regularly reviewing the organization’s financial position and performance. </w:t>
      </w:r>
    </w:p>
    <w:p w14:paraId="432E239E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Approving budgets, hiring and overseeing an audi</w:t>
      </w:r>
      <w:r>
        <w:rPr>
          <w:rFonts w:ascii="Arial" w:eastAsia="Arial" w:hAnsi="Arial" w:cs="Arial"/>
          <w:b w:val="0"/>
          <w:color w:val="000000"/>
          <w:sz w:val="24"/>
          <w:szCs w:val="24"/>
        </w:rPr>
        <w:t>tor, ensuring the integrity of the organization’s financial reporting processes and internal controls, and reviewing and approving audited financial statements.</w:t>
      </w:r>
    </w:p>
    <w:p w14:paraId="5C192DD4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Make a personal financial contribution to the organization.</w:t>
      </w:r>
    </w:p>
    <w:p w14:paraId="4CFFF827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 xml:space="preserve">Manage resources effectively. </w:t>
      </w:r>
    </w:p>
    <w:p w14:paraId="12DFDDB7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Carr</w:t>
      </w:r>
      <w:r>
        <w:rPr>
          <w:rFonts w:ascii="Arial" w:eastAsia="Arial" w:hAnsi="Arial" w:cs="Arial"/>
          <w:b w:val="0"/>
          <w:color w:val="000000"/>
          <w:sz w:val="24"/>
          <w:szCs w:val="24"/>
        </w:rPr>
        <w:t>y out the fiduciary responsibilities of the board, such as reviewing the organization’s annual financial statements, selecting an auditor and receiving the auditor’s report.</w:t>
      </w:r>
    </w:p>
    <w:p w14:paraId="31497E63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Managing risks</w:t>
      </w:r>
    </w:p>
    <w:p w14:paraId="6B826BB0" w14:textId="77777777" w:rsidR="00EB6254" w:rsidRDefault="004C59AF">
      <w:pPr>
        <w:pStyle w:val="Heading2"/>
        <w:numPr>
          <w:ilvl w:val="1"/>
          <w:numId w:val="2"/>
        </w:numPr>
        <w:spacing w:before="0"/>
        <w:contextualSpacing/>
        <w:jc w:val="both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Oversee compliance with legal, contractual and ethical obligations</w:t>
      </w:r>
    </w:p>
    <w:p w14:paraId="056A22F8" w14:textId="77777777" w:rsidR="00EB6254" w:rsidRDefault="004C59AF">
      <w:pPr>
        <w:pStyle w:val="Heading2"/>
        <w:numPr>
          <w:ilvl w:val="0"/>
          <w:numId w:val="2"/>
        </w:numPr>
        <w:spacing w:before="0"/>
        <w:contextualSpacing/>
        <w:jc w:val="both"/>
        <w:rPr>
          <w:b w:val="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Follow the organization’s Bylaws, conflict-of-interest, confidentiality and other policies.</w:t>
      </w:r>
    </w:p>
    <w:p w14:paraId="53CC4A73" w14:textId="77777777" w:rsidR="00EB6254" w:rsidRDefault="00EB6254">
      <w:pPr>
        <w:rPr>
          <w:rFonts w:ascii="Arial" w:eastAsia="Arial" w:hAnsi="Arial" w:cs="Arial"/>
          <w:b/>
        </w:rPr>
      </w:pPr>
    </w:p>
    <w:p w14:paraId="5F510D1F" w14:textId="77777777" w:rsidR="00EB6254" w:rsidRDefault="004C59A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Elected by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Board of Directors</w:t>
      </w:r>
    </w:p>
    <w:p w14:paraId="437134F4" w14:textId="77777777" w:rsidR="00EB6254" w:rsidRDefault="00EB6254">
      <w:pPr>
        <w:rPr>
          <w:rFonts w:ascii="Arial" w:eastAsia="Arial" w:hAnsi="Arial" w:cs="Arial"/>
          <w:b/>
        </w:rPr>
      </w:pPr>
    </w:p>
    <w:p w14:paraId="6909548C" w14:textId="77777777" w:rsidR="00EB6254" w:rsidRDefault="004C59A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Term Length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i/>
        </w:rPr>
        <w:t>Per by-laws</w:t>
      </w:r>
      <w:r>
        <w:rPr>
          <w:rFonts w:ascii="Arial" w:eastAsia="Arial" w:hAnsi="Arial" w:cs="Arial"/>
        </w:rPr>
        <w:t xml:space="preserve"> - currently, 2 years</w:t>
      </w:r>
    </w:p>
    <w:p w14:paraId="25FD6BE2" w14:textId="77777777" w:rsidR="00EB6254" w:rsidRDefault="00EB6254">
      <w:pPr>
        <w:rPr>
          <w:rFonts w:ascii="Arial" w:eastAsia="Arial" w:hAnsi="Arial" w:cs="Arial"/>
          <w:b/>
        </w:rPr>
      </w:pPr>
    </w:p>
    <w:p w14:paraId="06207B98" w14:textId="77777777" w:rsidR="00EB6254" w:rsidRDefault="004C59AF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</w:rPr>
        <w:t xml:space="preserve">ommitment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Participate in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onthly [</w:t>
      </w:r>
      <w:r>
        <w:rPr>
          <w:rFonts w:ascii="Arial" w:eastAsia="Arial" w:hAnsi="Arial" w:cs="Arial"/>
          <w:color w:val="FF0000"/>
        </w:rPr>
        <w:t>CONFIRM NOT QUARTERLY</w:t>
      </w:r>
      <w:r>
        <w:rPr>
          <w:rFonts w:ascii="Arial" w:eastAsia="Arial" w:hAnsi="Arial" w:cs="Arial"/>
        </w:rPr>
        <w:t>] meetings; additional time required for committee work and other board commitments.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Prepare for meetings by reviewing the </w:t>
      </w:r>
      <w:r>
        <w:rPr>
          <w:rFonts w:ascii="Arial" w:eastAsia="Arial" w:hAnsi="Arial" w:cs="Arial"/>
        </w:rPr>
        <w:t>materials distributed in advance.</w:t>
      </w:r>
      <w:r>
        <w:rPr>
          <w:rFonts w:ascii="Arial" w:eastAsia="Arial" w:hAnsi="Arial" w:cs="Arial"/>
          <w:b/>
        </w:rPr>
        <w:t xml:space="preserve"> </w:t>
      </w:r>
    </w:p>
    <w:p w14:paraId="27323C6E" w14:textId="77777777" w:rsidR="00EB6254" w:rsidRDefault="004C59A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Reports to 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Board Chairperson</w:t>
      </w:r>
    </w:p>
    <w:p w14:paraId="4D450301" w14:textId="77777777" w:rsidR="00EB6254" w:rsidRDefault="00EB6254">
      <w:pPr>
        <w:rPr>
          <w:rFonts w:ascii="Arial" w:eastAsia="Arial" w:hAnsi="Arial" w:cs="Arial"/>
          <w:b/>
        </w:rPr>
      </w:pPr>
    </w:p>
    <w:p w14:paraId="6B911C4C" w14:textId="77777777" w:rsidR="00EB6254" w:rsidRDefault="004C59AF">
      <w:pPr>
        <w:rPr>
          <w:rFonts w:ascii="Arial" w:eastAsia="Arial" w:hAnsi="Arial" w:cs="Arial"/>
          <w:b/>
        </w:rPr>
      </w:pPr>
      <w:bookmarkStart w:id="3" w:name="_1fob9te" w:colFirst="0" w:colLast="0"/>
      <w:bookmarkEnd w:id="3"/>
      <w:r>
        <w:rPr>
          <w:rFonts w:ascii="Arial" w:eastAsia="Arial" w:hAnsi="Arial" w:cs="Arial"/>
          <w:b/>
        </w:rPr>
        <w:t xml:space="preserve">Budget support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Limited</w:t>
      </w:r>
    </w:p>
    <w:p w14:paraId="38F76EC5" w14:textId="77777777" w:rsidR="00EB6254" w:rsidRDefault="004C59AF">
      <w:pPr>
        <w:pStyle w:val="Heading2"/>
        <w:jc w:val="both"/>
      </w:pPr>
      <w:r>
        <w:t>BOARD ASSESSMENT AND SUPPORT POLICY</w:t>
      </w:r>
    </w:p>
    <w:p w14:paraId="0761496C" w14:textId="77777777" w:rsidR="00EB6254" w:rsidRDefault="004C59AF">
      <w:pPr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</w:rPr>
        <w:t xml:space="preserve">It is the policy of the </w:t>
      </w:r>
      <w:r>
        <w:rPr>
          <w:rFonts w:ascii="Arial" w:eastAsia="Arial" w:hAnsi="Arial" w:cs="Arial"/>
        </w:rPr>
        <w:t>Accountability</w:t>
      </w:r>
      <w:r>
        <w:rPr>
          <w:rFonts w:ascii="Arial" w:eastAsia="Arial" w:hAnsi="Arial" w:cs="Arial"/>
        </w:rPr>
        <w:t xml:space="preserve"> Lab to ensure that Board members are adequately supported to fulfil their roles and responsibilities</w:t>
      </w:r>
    </w:p>
    <w:p w14:paraId="3A4A5D25" w14:textId="77777777" w:rsidR="00EB6254" w:rsidRDefault="004C59AF">
      <w:pPr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</w:rPr>
        <w:lastRenderedPageBreak/>
        <w:t>It is the policy of Accountability La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 xml:space="preserve"> to ensure that individual Board members roles and responsibilities as well as the functioning of The Board as a whole is assessed</w:t>
      </w:r>
    </w:p>
    <w:p w14:paraId="51E43506" w14:textId="77777777" w:rsidR="00EB6254" w:rsidRDefault="004C59AF">
      <w:pPr>
        <w:pStyle w:val="Heading3"/>
        <w:jc w:val="both"/>
      </w:pPr>
      <w:bookmarkStart w:id="4" w:name="_3znysh7" w:colFirst="0" w:colLast="0"/>
      <w:bookmarkEnd w:id="4"/>
      <w:r>
        <w:t xml:space="preserve"> (a) BOARD ASSESSMENT</w:t>
      </w:r>
    </w:p>
    <w:p w14:paraId="3AD30630" w14:textId="77777777" w:rsidR="00EB6254" w:rsidRDefault="004C59AF">
      <w:pPr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</w:rPr>
        <w:t>Annually the Board approves the AL strategic plan and the previous year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s activities and planning for t</w:t>
      </w:r>
      <w:r>
        <w:rPr>
          <w:rFonts w:ascii="Arial" w:eastAsia="Arial" w:hAnsi="Arial" w:cs="Arial"/>
        </w:rPr>
        <w:t xml:space="preserve">he new year is </w:t>
      </w:r>
      <w:r>
        <w:rPr>
          <w:rFonts w:ascii="Arial" w:eastAsia="Arial" w:hAnsi="Arial" w:cs="Arial"/>
        </w:rPr>
        <w:t>reviewed</w:t>
      </w:r>
      <w:r>
        <w:rPr>
          <w:rFonts w:ascii="Arial" w:eastAsia="Arial" w:hAnsi="Arial" w:cs="Arial"/>
        </w:rPr>
        <w:t>.</w:t>
      </w:r>
    </w:p>
    <w:p w14:paraId="4CA14590" w14:textId="77777777" w:rsidR="00EB6254" w:rsidRDefault="004C59AF">
      <w:pPr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</w:rPr>
        <w:t xml:space="preserve">The roles and </w:t>
      </w:r>
      <w:r>
        <w:rPr>
          <w:rFonts w:ascii="Arial" w:eastAsia="Arial" w:hAnsi="Arial" w:cs="Arial"/>
        </w:rPr>
        <w:t>responsibilities</w:t>
      </w:r>
      <w:r>
        <w:rPr>
          <w:rFonts w:ascii="Arial" w:eastAsia="Arial" w:hAnsi="Arial" w:cs="Arial"/>
        </w:rPr>
        <w:t xml:space="preserve"> of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he Board portfolios as set out in the job descriptions are used to guide the Board members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 functions and are used to aid assessments.</w:t>
      </w:r>
    </w:p>
    <w:p w14:paraId="61F69541" w14:textId="77777777" w:rsidR="00EB6254" w:rsidRDefault="004C59AF">
      <w:pPr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</w:rPr>
        <w:t xml:space="preserve">The work of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he Board is assessed at a special session planne</w:t>
      </w:r>
      <w:r>
        <w:rPr>
          <w:rFonts w:ascii="Arial" w:eastAsia="Arial" w:hAnsi="Arial" w:cs="Arial"/>
        </w:rPr>
        <w:t>d for this purpose perio</w:t>
      </w:r>
      <w:r>
        <w:rPr>
          <w:rFonts w:ascii="Arial" w:eastAsia="Arial" w:hAnsi="Arial" w:cs="Arial"/>
        </w:rPr>
        <w:t xml:space="preserve">dically, </w:t>
      </w:r>
      <w:r>
        <w:rPr>
          <w:rFonts w:ascii="Arial" w:eastAsia="Arial" w:hAnsi="Arial" w:cs="Arial"/>
        </w:rPr>
        <w:t xml:space="preserve">when the Board deems this to be necessary.  Areas of excellence or needing further </w:t>
      </w:r>
      <w:r>
        <w:rPr>
          <w:rFonts w:ascii="Arial" w:eastAsia="Arial" w:hAnsi="Arial" w:cs="Arial"/>
        </w:rPr>
        <w:t>improvement</w:t>
      </w:r>
      <w:r>
        <w:rPr>
          <w:rFonts w:ascii="Arial" w:eastAsia="Arial" w:hAnsi="Arial" w:cs="Arial"/>
        </w:rPr>
        <w:t>, change or development are identified.</w:t>
      </w:r>
    </w:p>
    <w:p w14:paraId="4BC8C6B0" w14:textId="77777777" w:rsidR="00EB6254" w:rsidRDefault="004C59AF">
      <w:pPr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</w:rPr>
        <w:t xml:space="preserve">The session is documented in the Board minutes. </w:t>
      </w:r>
    </w:p>
    <w:p w14:paraId="707B333D" w14:textId="77777777" w:rsidR="00EB6254" w:rsidRDefault="00EB6254">
      <w:pPr>
        <w:jc w:val="both"/>
        <w:rPr>
          <w:rFonts w:ascii="Arial" w:eastAsia="Arial" w:hAnsi="Arial" w:cs="Arial"/>
        </w:rPr>
      </w:pPr>
    </w:p>
    <w:p w14:paraId="41699B2E" w14:textId="77777777" w:rsidR="00EB6254" w:rsidRDefault="00EB6254"/>
    <w:sectPr w:rsidR="00EB6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FBF40" w14:textId="77777777" w:rsidR="004C59AF" w:rsidRDefault="004C59AF">
      <w:r>
        <w:separator/>
      </w:r>
    </w:p>
  </w:endnote>
  <w:endnote w:type="continuationSeparator" w:id="0">
    <w:p w14:paraId="25A27AD7" w14:textId="77777777" w:rsidR="004C59AF" w:rsidRDefault="004C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3F72632" w14:textId="77777777" w:rsidR="009F7646" w:rsidRDefault="009F764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079F5A0" w14:textId="77777777" w:rsidR="009F7646" w:rsidRDefault="009F764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E82B25C" w14:textId="77777777" w:rsidR="009F7646" w:rsidRDefault="009F764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583FF" w14:textId="77777777" w:rsidR="004C59AF" w:rsidRDefault="004C59AF">
      <w:r>
        <w:separator/>
      </w:r>
    </w:p>
  </w:footnote>
  <w:footnote w:type="continuationSeparator" w:id="0">
    <w:p w14:paraId="183C5313" w14:textId="77777777" w:rsidR="004C59AF" w:rsidRDefault="004C59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7AAF805" w14:textId="77777777" w:rsidR="009F7646" w:rsidRDefault="009F7646">
    <w:pPr>
      <w:pStyle w:val="Header"/>
    </w:pPr>
    <w:r>
      <w:rPr>
        <w:noProof/>
      </w:rPr>
      <w:pict w14:anchorId="7EB0013B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56.8pt;height:152.25pt;rotation:315;z-index:-251649024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</v:shape>
      </w:pict>
    </w:r>
    <w:r>
      <w:rPr>
        <w:noProof/>
      </w:rPr>
      <w:pict w14:anchorId="412C2C9E">
        <v:shape id="PowerPlusWaterMarkObject2" o:spid="_x0000_s2050" type="#_x0000_t136" style="position:absolute;margin-left:0;margin-top:0;width:456.8pt;height:152.25pt;rotation:315;z-index:-251655168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</v:shape>
      </w:pict>
    </w:r>
    <w:r>
      <w:rPr>
        <w:noProof/>
      </w:rPr>
      <w:pict w14:anchorId="56B890B9">
        <v:shape id="PowerPlusWaterMarkObject1" o:spid="_x0000_s2049" type="#_x0000_t136" style="position:absolute;margin-left:0;margin-top:0;width:456.8pt;height:152.25pt;rotation:315;z-index:-251657216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B99DAC2" w14:textId="77777777" w:rsidR="00EB6254" w:rsidRDefault="009F7646">
    <w:pPr>
      <w:tabs>
        <w:tab w:val="center" w:pos="4320"/>
        <w:tab w:val="right" w:pos="8640"/>
      </w:tabs>
      <w:spacing w:before="720"/>
    </w:pPr>
    <w:r>
      <w:rPr>
        <w:noProof/>
      </w:rPr>
      <w:pict w14:anchorId="0194F58F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56.8pt;height:152.25pt;rotation:315;z-index:-251651072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</v:shape>
      </w:pict>
    </w:r>
    <w:r w:rsidR="004C59AF">
      <w:rPr>
        <w:noProof/>
      </w:rPr>
      <w:drawing>
        <wp:inline distT="0" distB="0" distL="0" distR="0" wp14:anchorId="4A9D1516" wp14:editId="073ED84B">
          <wp:extent cx="5486400" cy="90043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900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86A4176" w14:textId="77777777" w:rsidR="00EB6254" w:rsidRDefault="00EB6254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6837701" w14:textId="77777777" w:rsidR="009F7646" w:rsidRDefault="009F7646">
    <w:pPr>
      <w:pStyle w:val="Header"/>
    </w:pPr>
    <w:r>
      <w:rPr>
        <w:noProof/>
      </w:rPr>
      <w:pict w14:anchorId="10FC7863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56.8pt;height:152.25pt;rotation:315;z-index:-251646976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</v:shape>
      </w:pict>
    </w:r>
    <w:r>
      <w:rPr>
        <w:noProof/>
      </w:rPr>
      <w:pict w14:anchorId="40A317DA">
        <v:shape id="PowerPlusWaterMarkObject3" o:spid="_x0000_s2051" type="#_x0000_t136" style="position:absolute;margin-left:0;margin-top:0;width:456.8pt;height:152.25pt;rotation:315;z-index:-251653120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D60A5"/>
    <w:multiLevelType w:val="multilevel"/>
    <w:tmpl w:val="DB1A1F5E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6424891"/>
    <w:multiLevelType w:val="multilevel"/>
    <w:tmpl w:val="2F88C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6254"/>
    <w:rsid w:val="004C59AF"/>
    <w:rsid w:val="009F7646"/>
    <w:rsid w:val="00EB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AB449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F7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646"/>
  </w:style>
  <w:style w:type="paragraph" w:styleId="Footer">
    <w:name w:val="footer"/>
    <w:basedOn w:val="Normal"/>
    <w:link w:val="FooterChar"/>
    <w:uiPriority w:val="99"/>
    <w:unhideWhenUsed/>
    <w:rsid w:val="009F7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3770</Characters>
  <Application>Microsoft Macintosh Word</Application>
  <DocSecurity>0</DocSecurity>
  <Lines>31</Lines>
  <Paragraphs>8</Paragraphs>
  <ScaleCrop>false</ScaleCrop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 Scrimgeour</cp:lastModifiedBy>
  <cp:revision>2</cp:revision>
  <dcterms:created xsi:type="dcterms:W3CDTF">2017-10-12T15:56:00Z</dcterms:created>
  <dcterms:modified xsi:type="dcterms:W3CDTF">2017-10-12T15:57:00Z</dcterms:modified>
</cp:coreProperties>
</file>