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40A39" w14:textId="77777777" w:rsidR="00A544B5" w:rsidRDefault="00205165">
      <w:pPr>
        <w:pStyle w:val="Heading2"/>
        <w:jc w:val="right"/>
      </w:pPr>
      <w:bookmarkStart w:id="0" w:name="_gjdgxs" w:colFirst="0" w:colLast="0"/>
      <w:bookmarkEnd w:id="0"/>
      <w:r>
        <w:t>8/14/17</w:t>
      </w:r>
    </w:p>
    <w:p w14:paraId="4818E188" w14:textId="77777777" w:rsidR="00A544B5" w:rsidRDefault="00205165">
      <w:pPr>
        <w:pStyle w:val="Heading2"/>
      </w:pPr>
      <w:r>
        <w:t>COMMITTEES</w:t>
      </w:r>
    </w:p>
    <w:p w14:paraId="7D90FA6A" w14:textId="77777777" w:rsidR="00A544B5" w:rsidRDefault="00205165">
      <w:pPr>
        <w:jc w:val="both"/>
        <w:rPr>
          <w:rFonts w:ascii="Arial" w:eastAsia="Arial" w:hAnsi="Arial" w:cs="Arial"/>
        </w:rPr>
      </w:pPr>
      <w:r>
        <w:rPr>
          <w:rFonts w:ascii="Arial" w:eastAsia="Arial" w:hAnsi="Arial" w:cs="Arial"/>
        </w:rPr>
        <w:t>The Board of Directors may designate from among its members one or more standing or special committees as may from time to time be deemed suitable, necessary, or convenient to aid in accomplishing the purposes of the Corporation.  The duties and powers of any such committee shall be as determined by the Board of Directors from time to time.  The Board may delegate its powers and authority relating to the management of the business and affairs of the Corporation to such extent, and on such terms and conditions, as the Board of Directors shall determine to be appropriate and in furtherance of the purposes of the Corporation; provided, however, that no such committee shall have authority as to the following matters:</w:t>
      </w:r>
    </w:p>
    <w:p w14:paraId="3DE3B6CF" w14:textId="77777777" w:rsidR="00A544B5" w:rsidRDefault="00205165">
      <w:pPr>
        <w:numPr>
          <w:ilvl w:val="0"/>
          <w:numId w:val="2"/>
        </w:numPr>
        <w:contextualSpacing/>
        <w:jc w:val="both"/>
        <w:rPr>
          <w:rFonts w:ascii="Arial" w:eastAsia="Arial" w:hAnsi="Arial" w:cs="Arial"/>
        </w:rPr>
      </w:pPr>
      <w:r>
        <w:rPr>
          <w:rFonts w:ascii="Arial" w:eastAsia="Arial" w:hAnsi="Arial" w:cs="Arial"/>
        </w:rPr>
        <w:t>The filling of vacancies on the Board of Directors or a committee thereof;</w:t>
      </w:r>
    </w:p>
    <w:p w14:paraId="63E8F83E" w14:textId="77777777" w:rsidR="00A544B5" w:rsidRDefault="00205165">
      <w:pPr>
        <w:numPr>
          <w:ilvl w:val="0"/>
          <w:numId w:val="2"/>
        </w:numPr>
        <w:contextualSpacing/>
        <w:jc w:val="both"/>
        <w:rPr>
          <w:rFonts w:ascii="Arial" w:eastAsia="Arial" w:hAnsi="Arial" w:cs="Arial"/>
        </w:rPr>
      </w:pPr>
      <w:r>
        <w:rPr>
          <w:rFonts w:ascii="Arial" w:eastAsia="Arial" w:hAnsi="Arial" w:cs="Arial"/>
        </w:rPr>
        <w:t>The amendment or repeal of these Bylaws or the adoption of new bylaws of the Corporation;</w:t>
      </w:r>
    </w:p>
    <w:p w14:paraId="7B884294" w14:textId="77777777" w:rsidR="00A544B5" w:rsidRDefault="00205165">
      <w:pPr>
        <w:numPr>
          <w:ilvl w:val="0"/>
          <w:numId w:val="2"/>
        </w:numPr>
        <w:contextualSpacing/>
        <w:jc w:val="both"/>
        <w:rPr>
          <w:rFonts w:ascii="Arial" w:eastAsia="Arial" w:hAnsi="Arial" w:cs="Arial"/>
        </w:rPr>
      </w:pPr>
      <w:r>
        <w:rPr>
          <w:rFonts w:ascii="Arial" w:eastAsia="Arial" w:hAnsi="Arial" w:cs="Arial"/>
        </w:rPr>
        <w:t>The amendment or repeal of any resolution of the Board of Directors which by the terms thereof shall not be so able to be amended or repealed;</w:t>
      </w:r>
    </w:p>
    <w:p w14:paraId="356F22B9" w14:textId="77777777" w:rsidR="00A544B5" w:rsidRDefault="00205165">
      <w:pPr>
        <w:numPr>
          <w:ilvl w:val="0"/>
          <w:numId w:val="2"/>
        </w:numPr>
        <w:contextualSpacing/>
        <w:jc w:val="both"/>
        <w:rPr>
          <w:rFonts w:ascii="Arial" w:eastAsia="Arial" w:hAnsi="Arial" w:cs="Arial"/>
        </w:rPr>
      </w:pPr>
      <w:r>
        <w:rPr>
          <w:rFonts w:ascii="Arial" w:eastAsia="Arial" w:hAnsi="Arial" w:cs="Arial"/>
        </w:rPr>
        <w:t>Causing the Corporation to incur debt, or pledging tangible or intangible assets of Corporation; or</w:t>
      </w:r>
    </w:p>
    <w:p w14:paraId="0393EFE6" w14:textId="77777777" w:rsidR="00A544B5" w:rsidRDefault="00205165">
      <w:pPr>
        <w:numPr>
          <w:ilvl w:val="0"/>
          <w:numId w:val="2"/>
        </w:numPr>
        <w:contextualSpacing/>
        <w:jc w:val="both"/>
        <w:rPr>
          <w:rFonts w:ascii="Arial" w:eastAsia="Arial" w:hAnsi="Arial" w:cs="Arial"/>
        </w:rPr>
      </w:pPr>
      <w:bookmarkStart w:id="1" w:name="_30j0zll" w:colFirst="0" w:colLast="0"/>
      <w:bookmarkEnd w:id="1"/>
      <w:r>
        <w:rPr>
          <w:rFonts w:ascii="Arial" w:eastAsia="Arial" w:hAnsi="Arial" w:cs="Arial"/>
        </w:rPr>
        <w:t>Transferring, by sale or lease, any real property of the Corporation.</w:t>
      </w:r>
    </w:p>
    <w:p w14:paraId="5D66F21E" w14:textId="77777777" w:rsidR="00A544B5" w:rsidRDefault="00205165">
      <w:pPr>
        <w:pStyle w:val="Heading2"/>
        <w:jc w:val="both"/>
      </w:pPr>
      <w:r>
        <w:t>DONOR ENGAGEMENT COMMITTEE</w:t>
      </w:r>
    </w:p>
    <w:p w14:paraId="51633F24" w14:textId="77777777" w:rsidR="00A544B5" w:rsidRDefault="00205165">
      <w:pPr>
        <w:jc w:val="both"/>
        <w:rPr>
          <w:rFonts w:ascii="Arial" w:eastAsia="Arial" w:hAnsi="Arial" w:cs="Arial"/>
        </w:rPr>
      </w:pPr>
      <w:r>
        <w:rPr>
          <w:rFonts w:ascii="Arial" w:eastAsia="Arial" w:hAnsi="Arial" w:cs="Arial"/>
        </w:rPr>
        <w:t xml:space="preserve">The Donor Engagement Committee’s task is not simply to raise money. Instead, it is responsible for overseeing the </w:t>
      </w:r>
      <w:proofErr w:type="spellStart"/>
      <w:r>
        <w:rPr>
          <w:rFonts w:ascii="Arial" w:eastAsia="Arial" w:hAnsi="Arial" w:cs="Arial"/>
        </w:rPr>
        <w:t>organisation’s</w:t>
      </w:r>
      <w:proofErr w:type="spellEnd"/>
      <w:r>
        <w:rPr>
          <w:rFonts w:ascii="Arial" w:eastAsia="Arial" w:hAnsi="Arial" w:cs="Arial"/>
        </w:rPr>
        <w:t xml:space="preserve"> overall fund-raising and, in particular, the fund-raising done by the Board. To accomplish this, </w:t>
      </w:r>
      <w:proofErr w:type="spellStart"/>
      <w:r>
        <w:rPr>
          <w:rFonts w:ascii="Arial" w:eastAsia="Arial" w:hAnsi="Arial" w:cs="Arial"/>
        </w:rPr>
        <w:t>its</w:t>
      </w:r>
      <w:proofErr w:type="spellEnd"/>
      <w:r>
        <w:rPr>
          <w:rFonts w:ascii="Arial" w:eastAsia="Arial" w:hAnsi="Arial" w:cs="Arial"/>
        </w:rPr>
        <w:t xml:space="preserve"> has to undertake the following responsibilities:</w:t>
      </w:r>
    </w:p>
    <w:p w14:paraId="677A248A" w14:textId="77777777" w:rsidR="00A544B5" w:rsidRDefault="00A544B5">
      <w:pPr>
        <w:jc w:val="both"/>
        <w:rPr>
          <w:rFonts w:ascii="Arial" w:eastAsia="Arial" w:hAnsi="Arial" w:cs="Arial"/>
        </w:rPr>
      </w:pPr>
    </w:p>
    <w:p w14:paraId="53D8A184" w14:textId="77777777" w:rsidR="00A544B5" w:rsidRDefault="00205165">
      <w:pPr>
        <w:numPr>
          <w:ilvl w:val="0"/>
          <w:numId w:val="1"/>
        </w:numPr>
        <w:jc w:val="both"/>
        <w:rPr>
          <w:rFonts w:ascii="Arial" w:eastAsia="Arial" w:hAnsi="Arial" w:cs="Arial"/>
        </w:rPr>
      </w:pPr>
      <w:r>
        <w:rPr>
          <w:rFonts w:ascii="Arial" w:eastAsia="Arial" w:hAnsi="Arial" w:cs="Arial"/>
        </w:rPr>
        <w:t xml:space="preserve">Is a member of the </w:t>
      </w:r>
      <w:proofErr w:type="gramStart"/>
      <w:r>
        <w:rPr>
          <w:rFonts w:ascii="Arial" w:eastAsia="Arial" w:hAnsi="Arial" w:cs="Arial"/>
        </w:rPr>
        <w:t>Board</w:t>
      </w:r>
      <w:proofErr w:type="gramEnd"/>
    </w:p>
    <w:p w14:paraId="38B9278F" w14:textId="77777777" w:rsidR="00A544B5" w:rsidRDefault="00205165">
      <w:pPr>
        <w:numPr>
          <w:ilvl w:val="0"/>
          <w:numId w:val="1"/>
        </w:numPr>
        <w:jc w:val="both"/>
        <w:rPr>
          <w:rFonts w:ascii="Arial" w:eastAsia="Arial" w:hAnsi="Arial" w:cs="Arial"/>
        </w:rPr>
      </w:pPr>
      <w:r>
        <w:rPr>
          <w:rFonts w:ascii="Arial" w:eastAsia="Arial" w:hAnsi="Arial" w:cs="Arial"/>
        </w:rPr>
        <w:t xml:space="preserve">To work with staff to establish a fundraising plan that incorporates a series of appropriate vehicles, such as special events, direct mail, fundraising campaigns, </w:t>
      </w:r>
      <w:proofErr w:type="spellStart"/>
      <w:r>
        <w:rPr>
          <w:rFonts w:ascii="Arial" w:eastAsia="Arial" w:hAnsi="Arial" w:cs="Arial"/>
        </w:rPr>
        <w:t>etc</w:t>
      </w:r>
      <w:proofErr w:type="spellEnd"/>
      <w:r>
        <w:rPr>
          <w:rFonts w:ascii="Arial" w:eastAsia="Arial" w:hAnsi="Arial" w:cs="Arial"/>
        </w:rPr>
        <w:t>;</w:t>
      </w:r>
    </w:p>
    <w:p w14:paraId="322F744A" w14:textId="77777777" w:rsidR="00A544B5" w:rsidRDefault="00205165">
      <w:pPr>
        <w:numPr>
          <w:ilvl w:val="0"/>
          <w:numId w:val="1"/>
        </w:numPr>
        <w:jc w:val="both"/>
        <w:rPr>
          <w:rFonts w:ascii="Arial" w:eastAsia="Arial" w:hAnsi="Arial" w:cs="Arial"/>
        </w:rPr>
      </w:pPr>
      <w:r>
        <w:rPr>
          <w:rFonts w:ascii="Arial" w:eastAsia="Arial" w:hAnsi="Arial" w:cs="Arial"/>
        </w:rPr>
        <w:t>Oversees the financial and fundraising management of the organisation</w:t>
      </w:r>
    </w:p>
    <w:p w14:paraId="618CFE77" w14:textId="77777777" w:rsidR="00A544B5" w:rsidRDefault="00205165">
      <w:pPr>
        <w:numPr>
          <w:ilvl w:val="0"/>
          <w:numId w:val="1"/>
        </w:numPr>
        <w:jc w:val="both"/>
        <w:rPr>
          <w:rFonts w:ascii="Arial" w:eastAsia="Arial" w:hAnsi="Arial" w:cs="Arial"/>
        </w:rPr>
      </w:pPr>
      <w:r>
        <w:rPr>
          <w:rFonts w:ascii="Arial" w:eastAsia="Arial" w:hAnsi="Arial" w:cs="Arial"/>
        </w:rPr>
        <w:t>Provides annual budget to the board for members' approval</w:t>
      </w:r>
    </w:p>
    <w:p w14:paraId="790B1549" w14:textId="77777777" w:rsidR="00A544B5" w:rsidRDefault="00205165">
      <w:pPr>
        <w:numPr>
          <w:ilvl w:val="0"/>
          <w:numId w:val="1"/>
        </w:numPr>
        <w:jc w:val="both"/>
        <w:rPr>
          <w:rFonts w:ascii="Arial" w:eastAsia="Arial" w:hAnsi="Arial" w:cs="Arial"/>
        </w:rPr>
      </w:pPr>
      <w:r>
        <w:rPr>
          <w:rFonts w:ascii="Arial" w:eastAsia="Arial" w:hAnsi="Arial" w:cs="Arial"/>
        </w:rPr>
        <w:t>Ensures development and board review of financial policies and procedures</w:t>
      </w:r>
    </w:p>
    <w:p w14:paraId="393C8D9A" w14:textId="77777777" w:rsidR="00A544B5" w:rsidRDefault="00205165">
      <w:pPr>
        <w:numPr>
          <w:ilvl w:val="0"/>
          <w:numId w:val="1"/>
        </w:numPr>
        <w:jc w:val="both"/>
        <w:rPr>
          <w:rFonts w:ascii="Arial" w:eastAsia="Arial" w:hAnsi="Arial" w:cs="Arial"/>
        </w:rPr>
      </w:pPr>
      <w:r>
        <w:rPr>
          <w:rFonts w:ascii="Arial" w:eastAsia="Arial" w:hAnsi="Arial" w:cs="Arial"/>
        </w:rPr>
        <w:t xml:space="preserve">Attends finance and fundraising committee meetings; supports the financial manager </w:t>
      </w:r>
    </w:p>
    <w:p w14:paraId="22DECC25" w14:textId="77777777" w:rsidR="00A544B5" w:rsidRDefault="00205165">
      <w:pPr>
        <w:numPr>
          <w:ilvl w:val="0"/>
          <w:numId w:val="1"/>
        </w:numPr>
        <w:jc w:val="both"/>
        <w:rPr>
          <w:rFonts w:ascii="Arial" w:eastAsia="Arial" w:hAnsi="Arial" w:cs="Arial"/>
        </w:rPr>
      </w:pPr>
      <w:bookmarkStart w:id="2" w:name="_GoBack"/>
      <w:bookmarkEnd w:id="2"/>
      <w:r>
        <w:rPr>
          <w:rFonts w:ascii="Arial" w:eastAsia="Arial" w:hAnsi="Arial" w:cs="Arial"/>
        </w:rPr>
        <w:t>Makes recommendations for approval of the budget, capital or extraordinary expenses or budget deviations outside of the policy to the Board.</w:t>
      </w:r>
    </w:p>
    <w:p w14:paraId="584A610F" w14:textId="77777777" w:rsidR="00A544B5" w:rsidRDefault="00205165">
      <w:pPr>
        <w:numPr>
          <w:ilvl w:val="0"/>
          <w:numId w:val="1"/>
        </w:numPr>
        <w:contextualSpacing/>
        <w:jc w:val="both"/>
        <w:rPr>
          <w:rFonts w:ascii="Arial" w:eastAsia="Arial" w:hAnsi="Arial" w:cs="Arial"/>
        </w:rPr>
      </w:pPr>
      <w:r>
        <w:rPr>
          <w:rFonts w:ascii="Arial" w:eastAsia="Arial" w:hAnsi="Arial" w:cs="Arial"/>
        </w:rPr>
        <w:lastRenderedPageBreak/>
        <w:t>To work with fund-raising staff in their efforts to raise money;</w:t>
      </w:r>
    </w:p>
    <w:p w14:paraId="387A7070" w14:textId="77777777" w:rsidR="00A544B5" w:rsidRDefault="00205165">
      <w:pPr>
        <w:numPr>
          <w:ilvl w:val="0"/>
          <w:numId w:val="1"/>
        </w:numPr>
        <w:contextualSpacing/>
        <w:jc w:val="both"/>
        <w:rPr>
          <w:rFonts w:ascii="Arial" w:eastAsia="Arial" w:hAnsi="Arial" w:cs="Arial"/>
        </w:rPr>
      </w:pPr>
      <w:r>
        <w:rPr>
          <w:rFonts w:ascii="Arial" w:eastAsia="Arial" w:hAnsi="Arial" w:cs="Arial"/>
        </w:rPr>
        <w:t xml:space="preserve">To take the lead in certain types of outreach efforts, such as hosting fundraising parties, </w:t>
      </w:r>
      <w:proofErr w:type="spellStart"/>
      <w:r>
        <w:rPr>
          <w:rFonts w:ascii="Arial" w:eastAsia="Arial" w:hAnsi="Arial" w:cs="Arial"/>
        </w:rPr>
        <w:t>etc</w:t>
      </w:r>
      <w:proofErr w:type="spellEnd"/>
      <w:r>
        <w:rPr>
          <w:rFonts w:ascii="Arial" w:eastAsia="Arial" w:hAnsi="Arial" w:cs="Arial"/>
        </w:rPr>
        <w:t>;</w:t>
      </w:r>
    </w:p>
    <w:p w14:paraId="4C38596B" w14:textId="77777777" w:rsidR="00A544B5" w:rsidRDefault="00205165">
      <w:pPr>
        <w:numPr>
          <w:ilvl w:val="0"/>
          <w:numId w:val="1"/>
        </w:numPr>
        <w:contextualSpacing/>
        <w:jc w:val="both"/>
        <w:rPr>
          <w:rFonts w:ascii="Arial" w:eastAsia="Arial" w:hAnsi="Arial" w:cs="Arial"/>
        </w:rPr>
      </w:pPr>
      <w:r>
        <w:rPr>
          <w:rFonts w:ascii="Arial" w:eastAsia="Arial" w:hAnsi="Arial" w:cs="Arial"/>
        </w:rPr>
        <w:t>To be responsible for involvement of all Board members in fundraising, such as having Board members themselves make some monetary contributions, and</w:t>
      </w:r>
    </w:p>
    <w:p w14:paraId="28CB4AD2" w14:textId="77777777" w:rsidR="00A544B5" w:rsidRDefault="00205165">
      <w:pPr>
        <w:numPr>
          <w:ilvl w:val="0"/>
          <w:numId w:val="1"/>
        </w:numPr>
        <w:contextualSpacing/>
        <w:jc w:val="both"/>
        <w:rPr>
          <w:rFonts w:ascii="Arial" w:eastAsia="Arial" w:hAnsi="Arial" w:cs="Arial"/>
        </w:rPr>
      </w:pPr>
      <w:r>
        <w:rPr>
          <w:rFonts w:ascii="Arial" w:eastAsia="Arial" w:hAnsi="Arial" w:cs="Arial"/>
        </w:rPr>
        <w:t>To monitor fund-raising efforts to be sure that ethical practices are in place, that donors are acknowledged appropriately, and that fundraising efforts are cost-effective.</w:t>
      </w:r>
    </w:p>
    <w:p w14:paraId="1A0211D0" w14:textId="77777777" w:rsidR="00A544B5" w:rsidRDefault="00A544B5"/>
    <w:p w14:paraId="5C7222E4" w14:textId="77777777" w:rsidR="00A544B5" w:rsidRDefault="00A544B5"/>
    <w:sectPr w:rsidR="00A544B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A0C72" w14:textId="77777777" w:rsidR="004067D7" w:rsidRDefault="004067D7">
      <w:r>
        <w:separator/>
      </w:r>
    </w:p>
  </w:endnote>
  <w:endnote w:type="continuationSeparator" w:id="0">
    <w:p w14:paraId="123014C1" w14:textId="77777777" w:rsidR="004067D7" w:rsidRDefault="0040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815100" w14:textId="77777777" w:rsidR="000572B9" w:rsidRDefault="000572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553E7ED" w14:textId="77777777" w:rsidR="000572B9" w:rsidRDefault="000572B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4CC998" w14:textId="77777777" w:rsidR="000572B9" w:rsidRDefault="000572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42077" w14:textId="77777777" w:rsidR="004067D7" w:rsidRDefault="004067D7">
      <w:r>
        <w:separator/>
      </w:r>
    </w:p>
  </w:footnote>
  <w:footnote w:type="continuationSeparator" w:id="0">
    <w:p w14:paraId="191CE981" w14:textId="77777777" w:rsidR="004067D7" w:rsidRDefault="004067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E54A05" w14:textId="77777777" w:rsidR="000572B9" w:rsidRDefault="004067D7">
    <w:pPr>
      <w:pStyle w:val="Header"/>
    </w:pPr>
    <w:r>
      <w:rPr>
        <w:noProof/>
      </w:rPr>
      <w:pict w14:anchorId="7D3B259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6.8pt;height:152.25pt;rotation:315;z-index:-251649024;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Pr>
        <w:noProof/>
      </w:rPr>
      <w:pict w14:anchorId="611F1742">
        <v:shape id="PowerPlusWaterMarkObject2" o:spid="_x0000_s2050" type="#_x0000_t136" style="position:absolute;margin-left:0;margin-top:0;width:456.8pt;height:152.25pt;rotation:315;z-index:-251655168;mso-position-horizontal:center;mso-position-horizontal-relative:margin;mso-position-vertical:center;mso-position-vertical-relative:margin" o:allowincell="f" fillcolor="silver" stroked="f">
          <v:textpath style="font-family:&quot;Damascus&quot;;font-size:1pt" string="DRAFT"/>
          <w10:wrap anchorx="margin" anchory="margin"/>
        </v:shape>
      </w:pict>
    </w:r>
    <w:r>
      <w:rPr>
        <w:noProof/>
      </w:rPr>
      <w:pict w14:anchorId="00CC185F">
        <v:shape id="PowerPlusWaterMarkObject1" o:spid="_x0000_s2049" type="#_x0000_t136" style="position:absolute;margin-left:0;margin-top:0;width:456.8pt;height:152.25pt;rotation:315;z-index:-251657216;mso-position-horizontal:center;mso-position-horizontal-relative:margin;mso-position-vertical:center;mso-position-vertical-relative:margin" o:allowincell="f" fillcolor="silver" stroked="f">
          <v:textpath style="font-family:&quot;Damascus&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A58C37D" w14:textId="77777777" w:rsidR="00A544B5" w:rsidRDefault="004067D7">
    <w:pPr>
      <w:tabs>
        <w:tab w:val="center" w:pos="4320"/>
        <w:tab w:val="right" w:pos="8640"/>
      </w:tabs>
      <w:spacing w:before="720"/>
    </w:pPr>
    <w:r>
      <w:rPr>
        <w:noProof/>
      </w:rPr>
      <w:pict w14:anchorId="30CF9C6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6.8pt;height:152.25pt;rotation:315;z-index:-251651072;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sidR="00205165">
      <w:rPr>
        <w:noProof/>
      </w:rPr>
      <w:drawing>
        <wp:inline distT="0" distB="0" distL="0" distR="0" wp14:anchorId="27AEDAA1" wp14:editId="7A0629F7">
          <wp:extent cx="5486400" cy="9004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86400" cy="900430"/>
                  </a:xfrm>
                  <a:prstGeom prst="rect">
                    <a:avLst/>
                  </a:prstGeom>
                  <a:ln/>
                </pic:spPr>
              </pic:pic>
            </a:graphicData>
          </a:graphic>
        </wp:inline>
      </w:drawing>
    </w:r>
  </w:p>
  <w:p w14:paraId="0A505925" w14:textId="77777777" w:rsidR="00A544B5" w:rsidRDefault="00A544B5">
    <w:pPr>
      <w:tabs>
        <w:tab w:val="center" w:pos="4320"/>
        <w:tab w:val="right" w:pos="864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7C9D01" w14:textId="77777777" w:rsidR="000572B9" w:rsidRDefault="004067D7">
    <w:pPr>
      <w:pStyle w:val="Header"/>
    </w:pPr>
    <w:r>
      <w:rPr>
        <w:noProof/>
      </w:rPr>
      <w:pict w14:anchorId="5984D84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56.8pt;height:152.25pt;rotation:315;z-index:-251646976;mso-position-horizontal:center;mso-position-horizontal-relative:margin;mso-position-vertical:center;mso-position-vertical-relative:margin" o:allowincell="f" fillcolor="silver" stroked="f">
          <v:textpath style="font-family:&quot;Cambria&quot;;font-size:1pt" string="DRAFT"/>
          <w10:wrap anchorx="margin" anchory="margin"/>
        </v:shape>
      </w:pict>
    </w:r>
    <w:r>
      <w:rPr>
        <w:noProof/>
      </w:rPr>
      <w:pict w14:anchorId="58695762">
        <v:shape id="PowerPlusWaterMarkObject3" o:spid="_x0000_s2051" type="#_x0000_t136" style="position:absolute;margin-left:0;margin-top:0;width:456.8pt;height:152.25pt;rotation:315;z-index:-251653120;mso-position-horizontal:center;mso-position-horizontal-relative:margin;mso-position-vertical:center;mso-position-vertical-relative:margin" o:allowincell="f" fillcolor="silver" stroked="f">
          <v:textpath style="font-family:&quot;Damascus&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8521E"/>
    <w:multiLevelType w:val="multilevel"/>
    <w:tmpl w:val="03368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FE11AA"/>
    <w:multiLevelType w:val="multilevel"/>
    <w:tmpl w:val="BCAA5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544B5"/>
    <w:rsid w:val="000572B9"/>
    <w:rsid w:val="00090273"/>
    <w:rsid w:val="00205165"/>
    <w:rsid w:val="004067D7"/>
    <w:rsid w:val="00A544B5"/>
    <w:rsid w:val="00C101D4"/>
    <w:rsid w:val="00D4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5369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572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72B9"/>
    <w:rPr>
      <w:rFonts w:ascii="Times New Roman" w:hAnsi="Times New Roman" w:cs="Times New Roman"/>
      <w:sz w:val="18"/>
      <w:szCs w:val="18"/>
    </w:rPr>
  </w:style>
  <w:style w:type="paragraph" w:styleId="Header">
    <w:name w:val="header"/>
    <w:basedOn w:val="Normal"/>
    <w:link w:val="HeaderChar"/>
    <w:uiPriority w:val="99"/>
    <w:unhideWhenUsed/>
    <w:rsid w:val="000572B9"/>
    <w:pPr>
      <w:tabs>
        <w:tab w:val="center" w:pos="4680"/>
        <w:tab w:val="right" w:pos="9360"/>
      </w:tabs>
    </w:pPr>
  </w:style>
  <w:style w:type="character" w:customStyle="1" w:styleId="HeaderChar">
    <w:name w:val="Header Char"/>
    <w:basedOn w:val="DefaultParagraphFont"/>
    <w:link w:val="Header"/>
    <w:uiPriority w:val="99"/>
    <w:rsid w:val="000572B9"/>
  </w:style>
  <w:style w:type="paragraph" w:styleId="Footer">
    <w:name w:val="footer"/>
    <w:basedOn w:val="Normal"/>
    <w:link w:val="FooterChar"/>
    <w:uiPriority w:val="99"/>
    <w:unhideWhenUsed/>
    <w:rsid w:val="000572B9"/>
    <w:pPr>
      <w:tabs>
        <w:tab w:val="center" w:pos="4680"/>
        <w:tab w:val="right" w:pos="9360"/>
      </w:tabs>
    </w:pPr>
  </w:style>
  <w:style w:type="character" w:customStyle="1" w:styleId="FooterChar">
    <w:name w:val="Footer Char"/>
    <w:basedOn w:val="DefaultParagraphFont"/>
    <w:link w:val="Footer"/>
    <w:uiPriority w:val="99"/>
    <w:rsid w:val="0005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9F7B3B2E-E294-8149-BD4F-25407137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Scrimgeour</cp:lastModifiedBy>
  <cp:revision>3</cp:revision>
  <cp:lastPrinted>2017-10-27T14:57:00Z</cp:lastPrinted>
  <dcterms:created xsi:type="dcterms:W3CDTF">2017-10-12T15:49:00Z</dcterms:created>
  <dcterms:modified xsi:type="dcterms:W3CDTF">2017-10-27T16:57:00Z</dcterms:modified>
</cp:coreProperties>
</file>