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3FA3D" w14:textId="77777777" w:rsidR="003F1320" w:rsidRDefault="006B6E74">
      <w:pPr>
        <w:spacing w:after="0"/>
        <w:jc w:val="center"/>
        <w:rPr>
          <w:b/>
        </w:rPr>
      </w:pPr>
      <w:r>
        <w:rPr>
          <w:b/>
        </w:rPr>
        <w:t xml:space="preserve">Partner Selection Criteria </w:t>
      </w:r>
    </w:p>
    <w:p w14:paraId="5F53D6BE" w14:textId="77777777" w:rsidR="003F1320" w:rsidRDefault="003F1320">
      <w:pPr>
        <w:spacing w:after="0"/>
        <w:jc w:val="center"/>
      </w:pPr>
    </w:p>
    <w:p w14:paraId="2E621609" w14:textId="77777777" w:rsidR="003F1320" w:rsidRDefault="006B6E74">
      <w:pPr>
        <w:spacing w:after="0"/>
        <w:jc w:val="both"/>
      </w:pPr>
      <w:r>
        <w:t xml:space="preserve">The </w:t>
      </w:r>
      <w:hyperlink r:id="rId8">
        <w:r>
          <w:rPr>
            <w:color w:val="0000FF"/>
            <w:u w:val="single"/>
          </w:rPr>
          <w:t>Accountability Lab</w:t>
        </w:r>
      </w:hyperlink>
      <w:r>
        <w:t xml:space="preserve"> co-creates the world’s best ideas to fight corruption and build accountability. The objective of AL’s policy on the selection and retention of partners for Project Partnership Agreements is to ensure AL partners with the most suitable organization in a gi</w:t>
      </w:r>
      <w:r>
        <w:t>ven operation for the implementation of Projects, in order to provide quality protection and assistance to beneficiaries and other persons of concern. As partners bring distinctive attributes and AL operates in varying and challenging environments, it is n</w:t>
      </w:r>
      <w:r>
        <w:t>ecessary to identify the Best-Fit Partner.</w:t>
      </w:r>
    </w:p>
    <w:p w14:paraId="03F4170A" w14:textId="77777777" w:rsidR="003F1320" w:rsidRDefault="003F1320">
      <w:pPr>
        <w:spacing w:after="0"/>
        <w:jc w:val="both"/>
      </w:pPr>
      <w:bookmarkStart w:id="0" w:name="_heading=h.gjdgxs" w:colFirst="0" w:colLast="0"/>
      <w:bookmarkEnd w:id="0"/>
    </w:p>
    <w:p w14:paraId="46247DD9" w14:textId="77777777" w:rsidR="003F1320" w:rsidRDefault="006B6E74">
      <w:pPr>
        <w:spacing w:after="0"/>
        <w:jc w:val="both"/>
      </w:pPr>
      <w:r>
        <w:t>This policy institutionalizes standardized and consistent procedures for the selection/ retention of partner(s) across projects in order to address the following types of risks:</w:t>
      </w:r>
    </w:p>
    <w:p w14:paraId="00FCD5E9" w14:textId="77777777" w:rsidR="003F1320" w:rsidRDefault="006B6E74" w:rsidP="00FF3395">
      <w:pPr>
        <w:numPr>
          <w:ilvl w:val="0"/>
          <w:numId w:val="3"/>
        </w:numPr>
        <w:pBdr>
          <w:top w:val="nil"/>
          <w:left w:val="nil"/>
          <w:bottom w:val="nil"/>
          <w:right w:val="nil"/>
          <w:between w:val="nil"/>
        </w:pBdr>
        <w:spacing w:after="0"/>
        <w:jc w:val="both"/>
        <w:rPr>
          <w:color w:val="000000"/>
        </w:rPr>
      </w:pPr>
      <w:r>
        <w:rPr>
          <w:color w:val="000000"/>
        </w:rPr>
        <w:t xml:space="preserve">Operational Risk: Negative impact </w:t>
      </w:r>
      <w:r>
        <w:rPr>
          <w:color w:val="000000"/>
        </w:rPr>
        <w:t>on achievement of planned results for beneficiaries and other persons of concern, as a result of entering into a Project Partnership Agreement with entities that are not best suited for a given project.</w:t>
      </w:r>
    </w:p>
    <w:p w14:paraId="7EA70A95" w14:textId="77777777" w:rsidR="003F1320" w:rsidRDefault="006B6E74" w:rsidP="00FF3395">
      <w:pPr>
        <w:numPr>
          <w:ilvl w:val="0"/>
          <w:numId w:val="3"/>
        </w:numPr>
        <w:pBdr>
          <w:top w:val="nil"/>
          <w:left w:val="nil"/>
          <w:bottom w:val="nil"/>
          <w:right w:val="nil"/>
          <w:between w:val="nil"/>
        </w:pBdr>
        <w:spacing w:after="0"/>
        <w:jc w:val="both"/>
        <w:rPr>
          <w:color w:val="000000"/>
        </w:rPr>
      </w:pPr>
      <w:r>
        <w:rPr>
          <w:color w:val="000000"/>
        </w:rPr>
        <w:t>Financial Risk: Mismanagement and/ or loss of AL reso</w:t>
      </w:r>
      <w:r>
        <w:rPr>
          <w:color w:val="000000"/>
        </w:rPr>
        <w:t>urces entrusted to partners.</w:t>
      </w:r>
    </w:p>
    <w:p w14:paraId="694DE625" w14:textId="77777777" w:rsidR="003F1320" w:rsidRDefault="006B6E74" w:rsidP="00FF3395">
      <w:pPr>
        <w:numPr>
          <w:ilvl w:val="0"/>
          <w:numId w:val="3"/>
        </w:numPr>
        <w:pBdr>
          <w:top w:val="nil"/>
          <w:left w:val="nil"/>
          <w:bottom w:val="nil"/>
          <w:right w:val="nil"/>
          <w:between w:val="nil"/>
        </w:pBdr>
        <w:spacing w:after="0"/>
        <w:jc w:val="both"/>
        <w:rPr>
          <w:color w:val="000000"/>
        </w:rPr>
      </w:pPr>
      <w:r>
        <w:rPr>
          <w:color w:val="000000"/>
        </w:rPr>
        <w:t>Reputational Risk:</w:t>
      </w:r>
    </w:p>
    <w:p w14:paraId="6C831419" w14:textId="77777777" w:rsidR="003F1320" w:rsidRDefault="006B6E74">
      <w:pPr>
        <w:numPr>
          <w:ilvl w:val="1"/>
          <w:numId w:val="2"/>
        </w:numPr>
        <w:pBdr>
          <w:top w:val="nil"/>
          <w:left w:val="nil"/>
          <w:bottom w:val="nil"/>
          <w:right w:val="nil"/>
          <w:between w:val="nil"/>
        </w:pBdr>
        <w:spacing w:after="0"/>
        <w:jc w:val="both"/>
        <w:rPr>
          <w:color w:val="000000"/>
        </w:rPr>
      </w:pPr>
      <w:r>
        <w:rPr>
          <w:color w:val="000000"/>
        </w:rPr>
        <w:t>Negative impact on AL partnerships, due to compromised integrity of the AL process; and</w:t>
      </w:r>
    </w:p>
    <w:p w14:paraId="7BA6EA2E" w14:textId="77777777" w:rsidR="003F1320" w:rsidRDefault="006B6E74">
      <w:pPr>
        <w:numPr>
          <w:ilvl w:val="1"/>
          <w:numId w:val="2"/>
        </w:numPr>
        <w:pBdr>
          <w:top w:val="nil"/>
          <w:left w:val="nil"/>
          <w:bottom w:val="nil"/>
          <w:right w:val="nil"/>
          <w:between w:val="nil"/>
        </w:pBdr>
        <w:spacing w:after="0"/>
        <w:jc w:val="both"/>
        <w:rPr>
          <w:color w:val="000000"/>
        </w:rPr>
      </w:pPr>
      <w:r>
        <w:rPr>
          <w:color w:val="000000"/>
        </w:rPr>
        <w:t>Negative impact on AL reputation with stakeholders, due to partnering with entities that do not share AL’s common values</w:t>
      </w:r>
      <w:r>
        <w:rPr>
          <w:color w:val="000000"/>
        </w:rPr>
        <w:t xml:space="preserve"> and ethics.</w:t>
      </w:r>
    </w:p>
    <w:p w14:paraId="4D72E484" w14:textId="77777777" w:rsidR="003F1320" w:rsidRDefault="006B6E74">
      <w:pPr>
        <w:pBdr>
          <w:top w:val="nil"/>
          <w:left w:val="nil"/>
          <w:bottom w:val="nil"/>
          <w:right w:val="nil"/>
          <w:between w:val="nil"/>
        </w:pBdr>
        <w:jc w:val="both"/>
        <w:rPr>
          <w:color w:val="000000"/>
        </w:rPr>
      </w:pPr>
      <w:r>
        <w:rPr>
          <w:color w:val="000000"/>
        </w:rPr>
        <w:t>The criteria for selection of partners include:</w:t>
      </w:r>
    </w:p>
    <w:p w14:paraId="4BB574E5"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t>Organizational/ Sector experience/expertise: capabilities to deliver high quality programming with specific skills, sector specialists, knowledge and human resources consisting of:</w:t>
      </w:r>
    </w:p>
    <w:p w14:paraId="0B523FF9" w14:textId="77777777" w:rsidR="003F1320" w:rsidRDefault="006B6E74" w:rsidP="00FF3395">
      <w:pPr>
        <w:numPr>
          <w:ilvl w:val="1"/>
          <w:numId w:val="4"/>
        </w:numPr>
        <w:pBdr>
          <w:top w:val="nil"/>
          <w:left w:val="nil"/>
          <w:bottom w:val="nil"/>
          <w:right w:val="nil"/>
          <w:between w:val="nil"/>
        </w:pBdr>
        <w:spacing w:after="0"/>
        <w:jc w:val="both"/>
        <w:rPr>
          <w:color w:val="000000"/>
        </w:rPr>
      </w:pPr>
      <w:r>
        <w:rPr>
          <w:color w:val="000000"/>
        </w:rPr>
        <w:t>Well-defined vision and mission</w:t>
      </w:r>
    </w:p>
    <w:p w14:paraId="6D6CF192" w14:textId="77777777" w:rsidR="003F1320" w:rsidRDefault="006B6E74" w:rsidP="00FF3395">
      <w:pPr>
        <w:numPr>
          <w:ilvl w:val="1"/>
          <w:numId w:val="4"/>
        </w:numPr>
        <w:pBdr>
          <w:top w:val="nil"/>
          <w:left w:val="nil"/>
          <w:bottom w:val="nil"/>
          <w:right w:val="nil"/>
          <w:between w:val="nil"/>
        </w:pBdr>
        <w:spacing w:after="0"/>
        <w:jc w:val="both"/>
        <w:rPr>
          <w:color w:val="000000"/>
        </w:rPr>
      </w:pPr>
      <w:r>
        <w:rPr>
          <w:color w:val="000000"/>
        </w:rPr>
        <w:t>Appropriate monitoring mechanism(s)</w:t>
      </w:r>
    </w:p>
    <w:p w14:paraId="077C5E23" w14:textId="77777777" w:rsidR="003F1320" w:rsidRDefault="006B6E74" w:rsidP="00FF3395">
      <w:pPr>
        <w:numPr>
          <w:ilvl w:val="1"/>
          <w:numId w:val="4"/>
        </w:numPr>
        <w:pBdr>
          <w:top w:val="nil"/>
          <w:left w:val="nil"/>
          <w:bottom w:val="nil"/>
          <w:right w:val="nil"/>
          <w:between w:val="nil"/>
        </w:pBdr>
        <w:spacing w:after="0"/>
        <w:jc w:val="both"/>
        <w:rPr>
          <w:color w:val="000000"/>
        </w:rPr>
      </w:pPr>
      <w:r>
        <w:rPr>
          <w:color w:val="000000"/>
        </w:rPr>
        <w:t>Well-de</w:t>
      </w:r>
      <w:r>
        <w:rPr>
          <w:color w:val="000000"/>
        </w:rPr>
        <w:t>fined ownership structure and organizational structure</w:t>
      </w:r>
    </w:p>
    <w:p w14:paraId="49340E00" w14:textId="77777777" w:rsidR="003F1320" w:rsidRDefault="006B6E74" w:rsidP="00FF3395">
      <w:pPr>
        <w:numPr>
          <w:ilvl w:val="1"/>
          <w:numId w:val="4"/>
        </w:numPr>
        <w:pBdr>
          <w:top w:val="nil"/>
          <w:left w:val="nil"/>
          <w:bottom w:val="nil"/>
          <w:right w:val="nil"/>
          <w:between w:val="nil"/>
        </w:pBdr>
        <w:spacing w:after="0"/>
        <w:rPr>
          <w:color w:val="000000"/>
        </w:rPr>
      </w:pPr>
      <w:r>
        <w:rPr>
          <w:color w:val="000000"/>
        </w:rPr>
        <w:t>Well-defined legal structure: compliance with laws and regulations</w:t>
      </w:r>
    </w:p>
    <w:p w14:paraId="6D09F30F" w14:textId="77777777" w:rsidR="003F1320" w:rsidRDefault="006B6E74" w:rsidP="00FF3395">
      <w:pPr>
        <w:numPr>
          <w:ilvl w:val="1"/>
          <w:numId w:val="4"/>
        </w:numPr>
        <w:pBdr>
          <w:top w:val="nil"/>
          <w:left w:val="nil"/>
          <w:bottom w:val="nil"/>
          <w:right w:val="nil"/>
          <w:between w:val="nil"/>
        </w:pBdr>
        <w:spacing w:after="0"/>
        <w:jc w:val="both"/>
        <w:rPr>
          <w:color w:val="000000"/>
        </w:rPr>
      </w:pPr>
      <w:r>
        <w:rPr>
          <w:color w:val="000000"/>
        </w:rPr>
        <w:t>Adequate governance and senior management</w:t>
      </w:r>
    </w:p>
    <w:p w14:paraId="31BE7738" w14:textId="77777777" w:rsidR="003F1320" w:rsidRDefault="006B6E74" w:rsidP="00FF3395">
      <w:pPr>
        <w:numPr>
          <w:ilvl w:val="1"/>
          <w:numId w:val="4"/>
        </w:numPr>
        <w:pBdr>
          <w:top w:val="nil"/>
          <w:left w:val="nil"/>
          <w:bottom w:val="nil"/>
          <w:right w:val="nil"/>
          <w:between w:val="nil"/>
        </w:pBdr>
        <w:spacing w:after="0"/>
        <w:jc w:val="both"/>
        <w:rPr>
          <w:color w:val="000000"/>
        </w:rPr>
      </w:pPr>
      <w:r>
        <w:rPr>
          <w:color w:val="000000"/>
        </w:rPr>
        <w:t>Performance based work plan</w:t>
      </w:r>
    </w:p>
    <w:p w14:paraId="72F0610E"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t>Project/ Financial management and administration: accountability mechanisms, sound financial management and internal controls. Trusted to act in the best interest of the partnership with transparency and integrity (perform with honesty) consisting of:</w:t>
      </w:r>
    </w:p>
    <w:p w14:paraId="0AC83B64" w14:textId="77777777" w:rsidR="003F1320" w:rsidRDefault="006B6E74" w:rsidP="00FF3395">
      <w:pPr>
        <w:numPr>
          <w:ilvl w:val="1"/>
          <w:numId w:val="5"/>
        </w:numPr>
        <w:pBdr>
          <w:top w:val="nil"/>
          <w:left w:val="nil"/>
          <w:bottom w:val="nil"/>
          <w:right w:val="nil"/>
          <w:between w:val="nil"/>
        </w:pBdr>
        <w:spacing w:after="0"/>
        <w:jc w:val="both"/>
        <w:rPr>
          <w:color w:val="000000"/>
        </w:rPr>
      </w:pPr>
      <w:bookmarkStart w:id="1" w:name="_GoBack"/>
      <w:r>
        <w:rPr>
          <w:color w:val="000000"/>
        </w:rPr>
        <w:t>Adeq</w:t>
      </w:r>
      <w:r>
        <w:rPr>
          <w:color w:val="000000"/>
        </w:rPr>
        <w:t>uate accounting and policies and procedures manuals</w:t>
      </w:r>
    </w:p>
    <w:p w14:paraId="3E9B34FC" w14:textId="77777777" w:rsidR="003F1320" w:rsidRDefault="006B6E74" w:rsidP="00FF3395">
      <w:pPr>
        <w:numPr>
          <w:ilvl w:val="1"/>
          <w:numId w:val="5"/>
        </w:numPr>
        <w:pBdr>
          <w:top w:val="nil"/>
          <w:left w:val="nil"/>
          <w:bottom w:val="nil"/>
          <w:right w:val="nil"/>
          <w:between w:val="nil"/>
        </w:pBdr>
        <w:spacing w:after="0"/>
        <w:jc w:val="both"/>
        <w:rPr>
          <w:color w:val="000000"/>
        </w:rPr>
      </w:pPr>
      <w:r>
        <w:rPr>
          <w:color w:val="000000"/>
        </w:rPr>
        <w:t>Written portfolio management policies</w:t>
      </w:r>
    </w:p>
    <w:p w14:paraId="634C703A" w14:textId="77777777" w:rsidR="003F1320" w:rsidRDefault="006B6E74" w:rsidP="00FF3395">
      <w:pPr>
        <w:numPr>
          <w:ilvl w:val="1"/>
          <w:numId w:val="5"/>
        </w:numPr>
        <w:pBdr>
          <w:top w:val="nil"/>
          <w:left w:val="nil"/>
          <w:bottom w:val="nil"/>
          <w:right w:val="nil"/>
          <w:between w:val="nil"/>
        </w:pBdr>
        <w:spacing w:after="0"/>
        <w:jc w:val="both"/>
        <w:rPr>
          <w:color w:val="000000"/>
        </w:rPr>
      </w:pPr>
      <w:r>
        <w:rPr>
          <w:color w:val="000000"/>
        </w:rPr>
        <w:t>Adequate asset/ liability management</w:t>
      </w:r>
    </w:p>
    <w:p w14:paraId="067A4242" w14:textId="77777777" w:rsidR="003F1320" w:rsidRDefault="006B6E74" w:rsidP="00FF3395">
      <w:pPr>
        <w:numPr>
          <w:ilvl w:val="1"/>
          <w:numId w:val="5"/>
        </w:numPr>
        <w:pBdr>
          <w:top w:val="nil"/>
          <w:left w:val="nil"/>
          <w:bottom w:val="nil"/>
          <w:right w:val="nil"/>
          <w:between w:val="nil"/>
        </w:pBdr>
        <w:spacing w:after="0"/>
        <w:jc w:val="both"/>
        <w:rPr>
          <w:color w:val="000000"/>
        </w:rPr>
      </w:pPr>
      <w:r>
        <w:rPr>
          <w:color w:val="000000"/>
        </w:rPr>
        <w:t>Appropriate cash and liquidity management</w:t>
      </w:r>
    </w:p>
    <w:p w14:paraId="1B4C81A5" w14:textId="77777777" w:rsidR="003F1320" w:rsidRDefault="006B6E74" w:rsidP="00FF3395">
      <w:pPr>
        <w:numPr>
          <w:ilvl w:val="1"/>
          <w:numId w:val="5"/>
        </w:numPr>
        <w:pBdr>
          <w:top w:val="nil"/>
          <w:left w:val="nil"/>
          <w:bottom w:val="nil"/>
          <w:right w:val="nil"/>
          <w:between w:val="nil"/>
        </w:pBdr>
        <w:spacing w:after="0"/>
        <w:jc w:val="both"/>
        <w:rPr>
          <w:color w:val="000000"/>
        </w:rPr>
      </w:pPr>
      <w:r>
        <w:rPr>
          <w:color w:val="000000"/>
        </w:rPr>
        <w:t>External audit</w:t>
      </w:r>
    </w:p>
    <w:p w14:paraId="61165C19" w14:textId="77777777" w:rsidR="003F1320" w:rsidRDefault="006B6E74" w:rsidP="00FF3395">
      <w:pPr>
        <w:numPr>
          <w:ilvl w:val="1"/>
          <w:numId w:val="5"/>
        </w:numPr>
        <w:pBdr>
          <w:top w:val="nil"/>
          <w:left w:val="nil"/>
          <w:bottom w:val="nil"/>
          <w:right w:val="nil"/>
          <w:between w:val="nil"/>
        </w:pBdr>
        <w:spacing w:after="0"/>
        <w:jc w:val="both"/>
        <w:rPr>
          <w:color w:val="000000"/>
        </w:rPr>
      </w:pPr>
      <w:r>
        <w:rPr>
          <w:color w:val="000000"/>
        </w:rPr>
        <w:t>Documented internal controls for all operational and credit processes</w:t>
      </w:r>
    </w:p>
    <w:bookmarkEnd w:id="1"/>
    <w:p w14:paraId="31D81E06"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t>Lo</w:t>
      </w:r>
      <w:r>
        <w:rPr>
          <w:color w:val="000000"/>
        </w:rPr>
        <w:t>cal experience: ability to negotiate with local government, local knowledge of the local market, local presence and community relations; trust from local communities; complaint mechanisms for persons of concern; and other factors that would facilitate acce</w:t>
      </w:r>
      <w:r>
        <w:rPr>
          <w:color w:val="000000"/>
        </w:rPr>
        <w:t>ss to and better understanding of the persons of concern and that would reduce administrative difficulties.</w:t>
      </w:r>
    </w:p>
    <w:p w14:paraId="4B049815"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t>Previous successfully collaborations and track record in partnerships</w:t>
      </w:r>
    </w:p>
    <w:p w14:paraId="0A4B378C"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lastRenderedPageBreak/>
        <w:t>Commitment/ Contribution of resources: evidenced and documented contribution of resources to Project in cash or in-kind (e.g. human resources, supplies and/ or equipment) by the partner that are presently available (or potentially mobilized by the partner)</w:t>
      </w:r>
    </w:p>
    <w:p w14:paraId="029EA824"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t>Security considerations: ability to operate in security conditions of the Project site as well as existence of partner’s organizational policies, procedures and practices related to security risk management.</w:t>
      </w:r>
    </w:p>
    <w:p w14:paraId="1BA51BFC" w14:textId="77777777" w:rsidR="003F1320" w:rsidRDefault="006B6E74">
      <w:pPr>
        <w:numPr>
          <w:ilvl w:val="0"/>
          <w:numId w:val="1"/>
        </w:numPr>
        <w:pBdr>
          <w:top w:val="nil"/>
          <w:left w:val="nil"/>
          <w:bottom w:val="nil"/>
          <w:right w:val="nil"/>
          <w:between w:val="nil"/>
        </w:pBdr>
        <w:spacing w:after="0"/>
        <w:jc w:val="both"/>
        <w:rPr>
          <w:color w:val="000000"/>
        </w:rPr>
      </w:pPr>
      <w:r>
        <w:rPr>
          <w:color w:val="000000"/>
        </w:rPr>
        <w:t>Financial performance/ Cost effectiveness: leve</w:t>
      </w:r>
      <w:r>
        <w:rPr>
          <w:color w:val="000000"/>
        </w:rPr>
        <w:t>l of direct costs and administrative costs imposed on the Project in relation to project deliverables.</w:t>
      </w:r>
    </w:p>
    <w:p w14:paraId="282F6127" w14:textId="77777777" w:rsidR="003F1320" w:rsidRDefault="006B6E74">
      <w:pPr>
        <w:numPr>
          <w:ilvl w:val="0"/>
          <w:numId w:val="1"/>
        </w:numPr>
        <w:pBdr>
          <w:top w:val="nil"/>
          <w:left w:val="nil"/>
          <w:bottom w:val="nil"/>
          <w:right w:val="nil"/>
          <w:between w:val="nil"/>
        </w:pBdr>
        <w:jc w:val="both"/>
        <w:rPr>
          <w:color w:val="000000"/>
        </w:rPr>
      </w:pPr>
      <w:r>
        <w:rPr>
          <w:color w:val="000000"/>
        </w:rPr>
        <w:t>Knowledge of AL policies, practices and programmes, including an understanding of and ability to work within AL’s funding limitations and associated inhe</w:t>
      </w:r>
      <w:r>
        <w:rPr>
          <w:color w:val="000000"/>
        </w:rPr>
        <w:t xml:space="preserve">rent risks. Partners that have two consecutive qualified audit opinions for AL-funded projects may not be considered. </w:t>
      </w:r>
    </w:p>
    <w:p w14:paraId="3CAECE0A" w14:textId="77777777" w:rsidR="003F1320" w:rsidRDefault="006B6E74">
      <w:pPr>
        <w:pBdr>
          <w:top w:val="nil"/>
          <w:left w:val="nil"/>
          <w:bottom w:val="nil"/>
          <w:right w:val="nil"/>
          <w:between w:val="nil"/>
        </w:pBdr>
        <w:jc w:val="both"/>
        <w:rPr>
          <w:color w:val="000000"/>
        </w:rPr>
      </w:pPr>
      <w:r>
        <w:rPr>
          <w:color w:val="000000"/>
        </w:rPr>
        <w:t xml:space="preserve"> </w:t>
      </w:r>
    </w:p>
    <w:sectPr w:rsidR="003F1320">
      <w:headerReference w:type="default" r:id="rId9"/>
      <w:footerReference w:type="default" r:id="rId10"/>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60DF3" w14:textId="77777777" w:rsidR="006B6E74" w:rsidRDefault="006B6E74">
      <w:pPr>
        <w:spacing w:after="0" w:line="240" w:lineRule="auto"/>
      </w:pPr>
      <w:r>
        <w:separator/>
      </w:r>
    </w:p>
  </w:endnote>
  <w:endnote w:type="continuationSeparator" w:id="0">
    <w:p w14:paraId="543D8756" w14:textId="77777777" w:rsidR="006B6E74" w:rsidRDefault="006B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Segoe UI">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A10B" w14:textId="77777777" w:rsidR="003F1320" w:rsidRDefault="006B6E74">
    <w:pPr>
      <w:pBdr>
        <w:top w:val="nil"/>
        <w:left w:val="nil"/>
        <w:bottom w:val="nil"/>
        <w:right w:val="nil"/>
        <w:between w:val="nil"/>
      </w:pBdr>
      <w:tabs>
        <w:tab w:val="center" w:pos="4513"/>
        <w:tab w:val="right" w:pos="9026"/>
      </w:tabs>
      <w:spacing w:after="0" w:line="240" w:lineRule="auto"/>
      <w:jc w:val="right"/>
      <w:rPr>
        <w:color w:val="000000"/>
      </w:rPr>
    </w:pPr>
    <w:r>
      <w:fldChar w:fldCharType="begin"/>
    </w:r>
    <w:r>
      <w:instrText>PAGE</w:instrText>
    </w:r>
    <w:r w:rsidR="00FF3395">
      <w:fldChar w:fldCharType="separate"/>
    </w:r>
    <w:r w:rsidR="00FF339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FD710" w14:textId="77777777" w:rsidR="006B6E74" w:rsidRDefault="006B6E74">
      <w:pPr>
        <w:spacing w:after="0" w:line="240" w:lineRule="auto"/>
      </w:pPr>
      <w:r>
        <w:separator/>
      </w:r>
    </w:p>
  </w:footnote>
  <w:footnote w:type="continuationSeparator" w:id="0">
    <w:p w14:paraId="788325C1" w14:textId="77777777" w:rsidR="006B6E74" w:rsidRDefault="006B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C77A" w14:textId="77777777" w:rsidR="003F1320" w:rsidRDefault="006B6E74">
    <w:pPr>
      <w:pBdr>
        <w:top w:val="nil"/>
        <w:left w:val="nil"/>
        <w:bottom w:val="nil"/>
        <w:right w:val="nil"/>
        <w:between w:val="nil"/>
      </w:pBdr>
      <w:tabs>
        <w:tab w:val="center" w:pos="4513"/>
        <w:tab w:val="center" w:pos="4680"/>
        <w:tab w:val="left" w:pos="7110"/>
        <w:tab w:val="right" w:pos="9026"/>
      </w:tabs>
      <w:spacing w:after="0" w:line="240" w:lineRule="auto"/>
      <w:rPr>
        <w:rFonts w:ascii="Gill Sans" w:eastAsia="Gill Sans" w:hAnsi="Gill Sans" w:cs="Gill Sans"/>
        <w:b/>
        <w:color w:val="000000"/>
      </w:rPr>
    </w:pPr>
    <w:r>
      <w:rPr>
        <w:rFonts w:ascii="Gill Sans" w:eastAsia="Gill Sans" w:hAnsi="Gill Sans" w:cs="Gill Sans"/>
        <w:b/>
        <w:color w:val="000000"/>
      </w:rPr>
      <w:tab/>
    </w:r>
    <w:r>
      <w:rPr>
        <w:rFonts w:ascii="Gill Sans" w:eastAsia="Gill Sans" w:hAnsi="Gill Sans" w:cs="Gill Sans"/>
        <w:b/>
        <w:noProof/>
        <w:color w:val="000000"/>
      </w:rPr>
      <w:drawing>
        <wp:inline distT="0" distB="0" distL="0" distR="0" wp14:anchorId="7167E9B3" wp14:editId="3A7D78E8">
          <wp:extent cx="2223929" cy="364996"/>
          <wp:effectExtent l="0" t="0" r="0" b="0"/>
          <wp:docPr id="1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23929" cy="364996"/>
                  </a:xfrm>
                  <a:prstGeom prst="rect">
                    <a:avLst/>
                  </a:prstGeom>
                  <a:ln/>
                </pic:spPr>
              </pic:pic>
            </a:graphicData>
          </a:graphic>
        </wp:inline>
      </w:drawing>
    </w:r>
    <w:r>
      <w:rPr>
        <w:rFonts w:ascii="Gill Sans" w:eastAsia="Gill Sans" w:hAnsi="Gill Sans" w:cs="Gill Sans"/>
        <w:b/>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24E2A"/>
    <w:multiLevelType w:val="multilevel"/>
    <w:tmpl w:val="CFF46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F72CA"/>
    <w:multiLevelType w:val="multilevel"/>
    <w:tmpl w:val="1C88E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430904"/>
    <w:multiLevelType w:val="multilevel"/>
    <w:tmpl w:val="1C88E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5EF2626"/>
    <w:multiLevelType w:val="multilevel"/>
    <w:tmpl w:val="1C88E3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885428"/>
    <w:multiLevelType w:val="multilevel"/>
    <w:tmpl w:val="7A1E57AE"/>
    <w:lvl w:ilvl="0">
      <w:start w:val="1"/>
      <w:numFmt w:val="bullet"/>
      <w:lvlText w:val="-"/>
      <w:lvlJc w:val="left"/>
      <w:pPr>
        <w:ind w:left="720" w:hanging="360"/>
      </w:pPr>
      <w:rPr>
        <w:rFonts w:ascii="Gill Sans" w:eastAsia="Gill Sans" w:hAnsi="Gill Sans" w:cs="Gill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20"/>
    <w:rsid w:val="003F1320"/>
    <w:rsid w:val="006B6E74"/>
    <w:rsid w:val="00FF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A3B37"/>
  <w15:docId w15:val="{FBA33733-B996-6345-B059-F0EEE67C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34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698"/>
    <w:rPr>
      <w:rFonts w:ascii="Segoe UI" w:hAnsi="Segoe UI" w:cs="Segoe UI"/>
      <w:sz w:val="18"/>
      <w:szCs w:val="18"/>
    </w:rPr>
  </w:style>
  <w:style w:type="paragraph" w:styleId="Header">
    <w:name w:val="header"/>
    <w:basedOn w:val="Normal"/>
    <w:link w:val="HeaderChar"/>
    <w:uiPriority w:val="99"/>
    <w:unhideWhenUsed/>
    <w:rsid w:val="00997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005"/>
  </w:style>
  <w:style w:type="paragraph" w:styleId="Footer">
    <w:name w:val="footer"/>
    <w:basedOn w:val="Normal"/>
    <w:link w:val="FooterChar"/>
    <w:uiPriority w:val="99"/>
    <w:unhideWhenUsed/>
    <w:rsid w:val="00997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005"/>
  </w:style>
  <w:style w:type="paragraph" w:styleId="ListParagraph">
    <w:name w:val="List Paragraph"/>
    <w:basedOn w:val="Normal"/>
    <w:uiPriority w:val="34"/>
    <w:qFormat/>
    <w:rsid w:val="00A55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ccountabilityla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FqyVtg+vx7ypf3DDTr4gMbv9qg==">AMUW2mWZD2mogK8G3Iw2EWSUcsl2mhQHMjivq5e+/NgL9GWEtkWpFSueEe3Ypbhve1mNLc5iEXJnuIufWAZGET3KTEXTx65xWHtRupaix7QdTNKk3Y6tZCo=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Odeh Friday</dc:creator>
  <cp:lastModifiedBy>Jean Scrimgeour</cp:lastModifiedBy>
  <cp:revision>2</cp:revision>
  <dcterms:created xsi:type="dcterms:W3CDTF">2019-02-15T21:27:00Z</dcterms:created>
  <dcterms:modified xsi:type="dcterms:W3CDTF">2019-10-31T23:04:00Z</dcterms:modified>
</cp:coreProperties>
</file>