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r>
    </w:p>
    <w:p w:rsidR="00000000" w:rsidDel="00000000" w:rsidP="00000000" w:rsidRDefault="00000000" w:rsidRPr="00000000" w14:paraId="00000002">
      <w:pPr>
        <w:pStyle w:val="Heading2"/>
        <w:jc w:val="center"/>
        <w:rPr>
          <w:b w:val="1"/>
          <w:color w:val="000000"/>
          <w:sz w:val="22"/>
          <w:szCs w:val="22"/>
        </w:rPr>
      </w:pPr>
      <w:r w:rsidDel="00000000" w:rsidR="00000000" w:rsidRPr="00000000">
        <w:rPr>
          <w:b w:val="1"/>
          <w:color w:val="000000"/>
          <w:sz w:val="22"/>
          <w:szCs w:val="22"/>
          <w:rtl w:val="0"/>
        </w:rPr>
        <w:t xml:space="preserve">AL Travel Policy</w:t>
      </w:r>
    </w:p>
    <w:p w:rsidR="00000000" w:rsidDel="00000000" w:rsidP="00000000" w:rsidRDefault="00000000" w:rsidRPr="00000000" w14:paraId="00000003">
      <w:pPr>
        <w:rPr>
          <w:sz w:val="22"/>
          <w:szCs w:val="22"/>
        </w:rPr>
      </w:pPr>
      <w:r w:rsidDel="00000000" w:rsidR="00000000" w:rsidRPr="00000000">
        <w:rPr>
          <w:sz w:val="22"/>
          <w:szCs w:val="22"/>
          <w:rtl w:val="0"/>
        </w:rPr>
        <w:t xml:space="preserve">January 2018</w:t>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b w:val="1"/>
          <w:sz w:val="22"/>
          <w:szCs w:val="22"/>
        </w:rPr>
      </w:pPr>
      <w:r w:rsidDel="00000000" w:rsidR="00000000" w:rsidRPr="00000000">
        <w:rPr>
          <w:b w:val="1"/>
          <w:sz w:val="22"/>
          <w:szCs w:val="22"/>
          <w:rtl w:val="0"/>
        </w:rPr>
        <w:t xml:space="preserve">AL Travel Overview</w:t>
      </w:r>
    </w:p>
    <w:p w:rsidR="00000000" w:rsidDel="00000000" w:rsidP="00000000" w:rsidRDefault="00000000" w:rsidRPr="00000000" w14:paraId="00000006">
      <w:pPr>
        <w:rPr>
          <w:sz w:val="22"/>
          <w:szCs w:val="22"/>
        </w:rPr>
      </w:pPr>
      <w:r w:rsidDel="00000000" w:rsidR="00000000" w:rsidRPr="00000000">
        <w:rPr>
          <w:sz w:val="22"/>
          <w:szCs w:val="22"/>
          <w:rtl w:val="0"/>
        </w:rPr>
        <w:t xml:space="preserve">From time to time staff will be asked to travel to conferences, workshops, events and to support in-country teams.  This policy is intended to streamline and support decision making around business travel of all AL Global Staff, Interns and Fellows.</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rPr>
          <w:b w:val="1"/>
          <w:sz w:val="22"/>
          <w:szCs w:val="22"/>
        </w:rPr>
      </w:pPr>
      <w:r w:rsidDel="00000000" w:rsidR="00000000" w:rsidRPr="00000000">
        <w:rPr>
          <w:b w:val="1"/>
          <w:sz w:val="22"/>
          <w:szCs w:val="22"/>
          <w:rtl w:val="0"/>
        </w:rPr>
        <w:t xml:space="preserve">Booking Travel</w:t>
      </w:r>
    </w:p>
    <w:p w:rsidR="00000000" w:rsidDel="00000000" w:rsidP="00000000" w:rsidRDefault="00000000" w:rsidRPr="00000000" w14:paraId="00000009">
      <w:pPr>
        <w:rPr>
          <w:sz w:val="22"/>
          <w:szCs w:val="22"/>
        </w:rPr>
      </w:pPr>
      <w:r w:rsidDel="00000000" w:rsidR="00000000" w:rsidRPr="00000000">
        <w:rPr>
          <w:sz w:val="22"/>
          <w:szCs w:val="22"/>
          <w:rtl w:val="0"/>
        </w:rPr>
        <w:t xml:space="preserve">All AL travel must be cleared with the employee’s line manager.  Every effort must be made to combine trips with paid for opportunities.  Work travel must be booked as far in advance as possible in order to ensure that costs are kept at a minimum. AL Global Staff fly economy class. </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Booking Accommodation</w:t>
      </w:r>
    </w:p>
    <w:p w:rsidR="00000000" w:rsidDel="00000000" w:rsidP="00000000" w:rsidRDefault="00000000" w:rsidRPr="00000000" w14:paraId="0000000C">
      <w:pPr>
        <w:rPr>
          <w:sz w:val="22"/>
          <w:szCs w:val="22"/>
        </w:rPr>
      </w:pPr>
      <w:r w:rsidDel="00000000" w:rsidR="00000000" w:rsidRPr="00000000">
        <w:rPr>
          <w:sz w:val="22"/>
          <w:szCs w:val="22"/>
          <w:rtl w:val="0"/>
        </w:rPr>
        <w:t xml:space="preserve">AL staff should as far as possible stay at trusted AL suggested accommodation when in country.  Every reasonable effort must be made to balance distance from the office and cost. Speak to your line manager about using the AL Airbnb account. </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b w:val="1"/>
          <w:sz w:val="22"/>
          <w:szCs w:val="22"/>
        </w:rPr>
      </w:pPr>
      <w:r w:rsidDel="00000000" w:rsidR="00000000" w:rsidRPr="00000000">
        <w:rPr>
          <w:b w:val="1"/>
          <w:sz w:val="22"/>
          <w:szCs w:val="22"/>
          <w:rtl w:val="0"/>
        </w:rPr>
        <w:t xml:space="preserve">Per Diem</w:t>
      </w:r>
    </w:p>
    <w:p w:rsidR="00000000" w:rsidDel="00000000" w:rsidP="00000000" w:rsidRDefault="00000000" w:rsidRPr="00000000" w14:paraId="0000000F">
      <w:pPr>
        <w:rPr>
          <w:sz w:val="22"/>
          <w:szCs w:val="22"/>
        </w:rPr>
      </w:pPr>
      <w:r w:rsidDel="00000000" w:rsidR="00000000" w:rsidRPr="00000000">
        <w:rPr>
          <w:sz w:val="22"/>
          <w:szCs w:val="22"/>
          <w:rtl w:val="0"/>
        </w:rPr>
        <w:t xml:space="preserve">Per diem is an allowance paid to AL staff for lodging, meals, and incidental expenses incurred when travelling. This allowance is in lieu of paying their actual travel expenses. Per diem payments are not part of the employee’s wages if the payment is equal to or less than the federal per diem rate and the employer receives an expense report from the employee. Employees may claim the daily per diem rate without providing itemized receipts.  The accommodation cannot be claimed if staff are staying with friends or family- however they may claim up to 10% of the allotted amount per night to contribute to the household expenses.</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b w:val="1"/>
          <w:sz w:val="22"/>
          <w:szCs w:val="22"/>
        </w:rPr>
      </w:pPr>
      <w:r w:rsidDel="00000000" w:rsidR="00000000" w:rsidRPr="00000000">
        <w:rPr>
          <w:b w:val="1"/>
          <w:sz w:val="22"/>
          <w:szCs w:val="22"/>
          <w:rtl w:val="0"/>
        </w:rPr>
        <w:t xml:space="preserve">Per Diem Rate (2019 rates)</w:t>
      </w:r>
    </w:p>
    <w:tbl>
      <w:tblPr>
        <w:tblStyle w:val="Table1"/>
        <w:tblW w:w="9565.0" w:type="dxa"/>
        <w:jc w:val="left"/>
        <w:tblInd w:w="59.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7"/>
        <w:gridCol w:w="2569"/>
        <w:gridCol w:w="2569"/>
        <w:gridCol w:w="2570"/>
        <w:tblGridChange w:id="0">
          <w:tblGrid>
            <w:gridCol w:w="1857"/>
            <w:gridCol w:w="2569"/>
            <w:gridCol w:w="2569"/>
            <w:gridCol w:w="2570"/>
          </w:tblGrid>
        </w:tblGridChange>
      </w:tblGrid>
      <w:tr>
        <w:tc>
          <w:tcPr/>
          <w:p w:rsidR="00000000" w:rsidDel="00000000" w:rsidP="00000000" w:rsidRDefault="00000000" w:rsidRPr="00000000" w14:paraId="00000012">
            <w:pPr>
              <w:rPr>
                <w:b w:val="1"/>
                <w:sz w:val="22"/>
                <w:szCs w:val="22"/>
              </w:rPr>
            </w:pPr>
            <w:r w:rsidDel="00000000" w:rsidR="00000000" w:rsidRPr="00000000">
              <w:rPr>
                <w:b w:val="1"/>
                <w:sz w:val="22"/>
                <w:szCs w:val="22"/>
                <w:rtl w:val="0"/>
              </w:rPr>
              <w:t xml:space="preserve">Country</w:t>
            </w:r>
          </w:p>
        </w:tc>
        <w:tc>
          <w:tcPr/>
          <w:p w:rsidR="00000000" w:rsidDel="00000000" w:rsidP="00000000" w:rsidRDefault="00000000" w:rsidRPr="00000000" w14:paraId="00000013">
            <w:pPr>
              <w:rPr>
                <w:b w:val="1"/>
                <w:sz w:val="22"/>
                <w:szCs w:val="22"/>
              </w:rPr>
            </w:pPr>
            <w:r w:rsidDel="00000000" w:rsidR="00000000" w:rsidRPr="00000000">
              <w:rPr>
                <w:b w:val="1"/>
                <w:sz w:val="22"/>
                <w:szCs w:val="22"/>
                <w:rtl w:val="0"/>
              </w:rPr>
              <w:t xml:space="preserve">Meals &amp; Incidentals</w:t>
            </w:r>
          </w:p>
        </w:tc>
        <w:tc>
          <w:tcPr/>
          <w:p w:rsidR="00000000" w:rsidDel="00000000" w:rsidP="00000000" w:rsidRDefault="00000000" w:rsidRPr="00000000" w14:paraId="00000014">
            <w:pPr>
              <w:rPr>
                <w:b w:val="1"/>
                <w:sz w:val="22"/>
                <w:szCs w:val="22"/>
              </w:rPr>
            </w:pPr>
            <w:r w:rsidDel="00000000" w:rsidR="00000000" w:rsidRPr="00000000">
              <w:rPr>
                <w:b w:val="1"/>
                <w:sz w:val="22"/>
                <w:szCs w:val="22"/>
                <w:rtl w:val="0"/>
              </w:rPr>
              <w:t xml:space="preserve">Accommodation</w:t>
            </w:r>
          </w:p>
        </w:tc>
        <w:tc>
          <w:tcPr/>
          <w:p w:rsidR="00000000" w:rsidDel="00000000" w:rsidP="00000000" w:rsidRDefault="00000000" w:rsidRPr="00000000" w14:paraId="00000015">
            <w:pPr>
              <w:rPr>
                <w:b w:val="1"/>
                <w:sz w:val="22"/>
                <w:szCs w:val="22"/>
              </w:rPr>
            </w:pPr>
            <w:r w:rsidDel="00000000" w:rsidR="00000000" w:rsidRPr="00000000">
              <w:rPr>
                <w:b w:val="1"/>
                <w:sz w:val="22"/>
                <w:szCs w:val="22"/>
                <w:rtl w:val="0"/>
              </w:rPr>
              <w:t xml:space="preserve">Overall</w:t>
            </w:r>
          </w:p>
        </w:tc>
      </w:tr>
      <w:tr>
        <w:tc>
          <w:tcPr/>
          <w:p w:rsidR="00000000" w:rsidDel="00000000" w:rsidP="00000000" w:rsidRDefault="00000000" w:rsidRPr="00000000" w14:paraId="00000016">
            <w:pPr>
              <w:rPr>
                <w:sz w:val="22"/>
                <w:szCs w:val="22"/>
              </w:rPr>
            </w:pPr>
            <w:r w:rsidDel="00000000" w:rsidR="00000000" w:rsidRPr="00000000">
              <w:rPr>
                <w:sz w:val="22"/>
                <w:szCs w:val="22"/>
                <w:rtl w:val="0"/>
              </w:rPr>
              <w:t xml:space="preserve">AL Countries</w:t>
            </w:r>
            <w:r w:rsidDel="00000000" w:rsidR="00000000" w:rsidRPr="00000000">
              <w:rPr>
                <w:sz w:val="22"/>
                <w:szCs w:val="22"/>
                <w:vertAlign w:val="superscript"/>
              </w:rPr>
              <w:footnoteReference w:customMarkFollows="0" w:id="0"/>
            </w:r>
            <w:r w:rsidDel="00000000" w:rsidR="00000000" w:rsidRPr="00000000">
              <w:rPr>
                <w:rtl w:val="0"/>
              </w:rPr>
            </w:r>
          </w:p>
        </w:tc>
        <w:tc>
          <w:tcPr/>
          <w:p w:rsidR="00000000" w:rsidDel="00000000" w:rsidP="00000000" w:rsidRDefault="00000000" w:rsidRPr="00000000" w14:paraId="00000017">
            <w:pPr>
              <w:rPr>
                <w:sz w:val="22"/>
                <w:szCs w:val="22"/>
              </w:rPr>
            </w:pPr>
            <w:r w:rsidDel="00000000" w:rsidR="00000000" w:rsidRPr="00000000">
              <w:rPr>
                <w:sz w:val="22"/>
                <w:szCs w:val="22"/>
                <w:rtl w:val="0"/>
              </w:rPr>
              <w:t xml:space="preserve">$30 per day, $20 on travel days</w:t>
            </w:r>
          </w:p>
        </w:tc>
        <w:tc>
          <w:tcPr/>
          <w:p w:rsidR="00000000" w:rsidDel="00000000" w:rsidP="00000000" w:rsidRDefault="00000000" w:rsidRPr="00000000" w14:paraId="00000018">
            <w:pPr>
              <w:rPr>
                <w:sz w:val="22"/>
                <w:szCs w:val="22"/>
              </w:rPr>
            </w:pPr>
            <w:r w:rsidDel="00000000" w:rsidR="00000000" w:rsidRPr="00000000">
              <w:rPr>
                <w:sz w:val="22"/>
                <w:szCs w:val="22"/>
                <w:rtl w:val="0"/>
              </w:rPr>
              <w:t xml:space="preserve">$60 per night</w:t>
            </w:r>
          </w:p>
        </w:tc>
        <w:tc>
          <w:tcPr/>
          <w:p w:rsidR="00000000" w:rsidDel="00000000" w:rsidP="00000000" w:rsidRDefault="00000000" w:rsidRPr="00000000" w14:paraId="00000019">
            <w:pPr>
              <w:rPr>
                <w:sz w:val="22"/>
                <w:szCs w:val="22"/>
              </w:rPr>
            </w:pPr>
            <w:r w:rsidDel="00000000" w:rsidR="00000000" w:rsidRPr="00000000">
              <w:rPr>
                <w:sz w:val="22"/>
                <w:szCs w:val="22"/>
                <w:rtl w:val="0"/>
              </w:rPr>
              <w:t xml:space="preserve">$90</w:t>
            </w:r>
          </w:p>
        </w:tc>
      </w:tr>
      <w:tr>
        <w:tc>
          <w:tcPr/>
          <w:p w:rsidR="00000000" w:rsidDel="00000000" w:rsidP="00000000" w:rsidRDefault="00000000" w:rsidRPr="00000000" w14:paraId="0000001A">
            <w:pPr>
              <w:rPr>
                <w:sz w:val="22"/>
                <w:szCs w:val="22"/>
              </w:rPr>
            </w:pPr>
            <w:r w:rsidDel="00000000" w:rsidR="00000000" w:rsidRPr="00000000">
              <w:rPr>
                <w:sz w:val="22"/>
                <w:szCs w:val="22"/>
                <w:rtl w:val="0"/>
              </w:rPr>
              <w:t xml:space="preserve">Europe</w:t>
            </w:r>
          </w:p>
        </w:tc>
        <w:tc>
          <w:tcPr/>
          <w:p w:rsidR="00000000" w:rsidDel="00000000" w:rsidP="00000000" w:rsidRDefault="00000000" w:rsidRPr="00000000" w14:paraId="0000001B">
            <w:pPr>
              <w:rPr>
                <w:sz w:val="22"/>
                <w:szCs w:val="22"/>
              </w:rPr>
            </w:pPr>
            <w:bookmarkStart w:colFirst="0" w:colLast="0" w:name="_heading=h.gjdgxs" w:id="0"/>
            <w:bookmarkEnd w:id="0"/>
            <w:r w:rsidDel="00000000" w:rsidR="00000000" w:rsidRPr="00000000">
              <w:rPr>
                <w:sz w:val="22"/>
                <w:szCs w:val="22"/>
                <w:rtl w:val="0"/>
              </w:rPr>
              <w:t xml:space="preserve">$55 per day, $45 on travel days</w:t>
            </w:r>
          </w:p>
        </w:tc>
        <w:tc>
          <w:tcPr/>
          <w:p w:rsidR="00000000" w:rsidDel="00000000" w:rsidP="00000000" w:rsidRDefault="00000000" w:rsidRPr="00000000" w14:paraId="0000001C">
            <w:pPr>
              <w:rPr>
                <w:sz w:val="22"/>
                <w:szCs w:val="22"/>
              </w:rPr>
            </w:pPr>
            <w:r w:rsidDel="00000000" w:rsidR="00000000" w:rsidRPr="00000000">
              <w:rPr>
                <w:sz w:val="22"/>
                <w:szCs w:val="22"/>
                <w:rtl w:val="0"/>
              </w:rPr>
              <w:t xml:space="preserve">$110 per night</w:t>
            </w:r>
          </w:p>
        </w:tc>
        <w:tc>
          <w:tcPr/>
          <w:p w:rsidR="00000000" w:rsidDel="00000000" w:rsidP="00000000" w:rsidRDefault="00000000" w:rsidRPr="00000000" w14:paraId="0000001D">
            <w:pPr>
              <w:rPr>
                <w:sz w:val="22"/>
                <w:szCs w:val="22"/>
              </w:rPr>
            </w:pPr>
            <w:r w:rsidDel="00000000" w:rsidR="00000000" w:rsidRPr="00000000">
              <w:rPr>
                <w:sz w:val="22"/>
                <w:szCs w:val="22"/>
                <w:rtl w:val="0"/>
              </w:rPr>
              <w:t xml:space="preserve">$165</w:t>
            </w:r>
          </w:p>
        </w:tc>
      </w:tr>
      <w:tr>
        <w:tc>
          <w:tcPr/>
          <w:p w:rsidR="00000000" w:rsidDel="00000000" w:rsidP="00000000" w:rsidRDefault="00000000" w:rsidRPr="00000000" w14:paraId="0000001E">
            <w:pPr>
              <w:rPr>
                <w:sz w:val="22"/>
                <w:szCs w:val="22"/>
              </w:rPr>
            </w:pPr>
            <w:r w:rsidDel="00000000" w:rsidR="00000000" w:rsidRPr="00000000">
              <w:rPr>
                <w:sz w:val="22"/>
                <w:szCs w:val="22"/>
                <w:rtl w:val="0"/>
              </w:rPr>
              <w:t xml:space="preserve">North America</w:t>
            </w:r>
            <w:r w:rsidDel="00000000" w:rsidR="00000000" w:rsidRPr="00000000">
              <w:rPr>
                <w:sz w:val="22"/>
                <w:szCs w:val="22"/>
                <w:vertAlign w:val="superscript"/>
              </w:rPr>
              <w:footnoteReference w:customMarkFollows="0" w:id="1"/>
            </w:r>
            <w:r w:rsidDel="00000000" w:rsidR="00000000" w:rsidRPr="00000000">
              <w:rPr>
                <w:rtl w:val="0"/>
              </w:rPr>
            </w:r>
          </w:p>
        </w:tc>
        <w:tc>
          <w:tcPr/>
          <w:p w:rsidR="00000000" w:rsidDel="00000000" w:rsidP="00000000" w:rsidRDefault="00000000" w:rsidRPr="00000000" w14:paraId="0000001F">
            <w:pPr>
              <w:rPr>
                <w:sz w:val="22"/>
                <w:szCs w:val="22"/>
              </w:rPr>
            </w:pPr>
            <w:r w:rsidDel="00000000" w:rsidR="00000000" w:rsidRPr="00000000">
              <w:rPr>
                <w:sz w:val="22"/>
                <w:szCs w:val="22"/>
                <w:rtl w:val="0"/>
              </w:rPr>
              <w:t xml:space="preserve">$50 per day, $41 on travel days</w:t>
            </w:r>
          </w:p>
        </w:tc>
        <w:tc>
          <w:tcPr/>
          <w:p w:rsidR="00000000" w:rsidDel="00000000" w:rsidP="00000000" w:rsidRDefault="00000000" w:rsidRPr="00000000" w14:paraId="00000020">
            <w:pPr>
              <w:rPr>
                <w:sz w:val="22"/>
                <w:szCs w:val="22"/>
              </w:rPr>
            </w:pPr>
            <w:r w:rsidDel="00000000" w:rsidR="00000000" w:rsidRPr="00000000">
              <w:rPr>
                <w:sz w:val="22"/>
                <w:szCs w:val="22"/>
                <w:rtl w:val="0"/>
              </w:rPr>
              <w:t xml:space="preserve">$100 per night</w:t>
            </w:r>
            <w:r w:rsidDel="00000000" w:rsidR="00000000" w:rsidRPr="00000000">
              <w:rPr>
                <w:sz w:val="22"/>
                <w:szCs w:val="22"/>
                <w:vertAlign w:val="superscript"/>
              </w:rPr>
              <w:footnoteReference w:customMarkFollows="0" w:id="2"/>
            </w:r>
            <w:r w:rsidDel="00000000" w:rsidR="00000000" w:rsidRPr="00000000">
              <w:rPr>
                <w:rtl w:val="0"/>
              </w:rPr>
            </w:r>
          </w:p>
        </w:tc>
        <w:tc>
          <w:tcPr/>
          <w:p w:rsidR="00000000" w:rsidDel="00000000" w:rsidP="00000000" w:rsidRDefault="00000000" w:rsidRPr="00000000" w14:paraId="00000021">
            <w:pPr>
              <w:rPr>
                <w:sz w:val="22"/>
                <w:szCs w:val="22"/>
              </w:rPr>
            </w:pPr>
            <w:r w:rsidDel="00000000" w:rsidR="00000000" w:rsidRPr="00000000">
              <w:rPr>
                <w:sz w:val="22"/>
                <w:szCs w:val="22"/>
                <w:rtl w:val="0"/>
              </w:rPr>
              <w:t xml:space="preserve">$150</w:t>
            </w:r>
          </w:p>
          <w:p w:rsidR="00000000" w:rsidDel="00000000" w:rsidP="00000000" w:rsidRDefault="00000000" w:rsidRPr="00000000" w14:paraId="00000022">
            <w:pPr>
              <w:rPr>
                <w:sz w:val="22"/>
                <w:szCs w:val="22"/>
              </w:rPr>
            </w:pPr>
            <w:r w:rsidDel="00000000" w:rsidR="00000000" w:rsidRPr="00000000">
              <w:rPr>
                <w:rtl w:val="0"/>
              </w:rPr>
            </w:r>
          </w:p>
        </w:tc>
      </w:tr>
    </w:tbl>
    <w:p w:rsidR="00000000" w:rsidDel="00000000" w:rsidP="00000000" w:rsidRDefault="00000000" w:rsidRPr="00000000" w14:paraId="00000023">
      <w:pPr>
        <w:ind w:left="60"/>
        <w:rPr>
          <w:sz w:val="22"/>
          <w:szCs w:val="22"/>
        </w:rPr>
      </w:pPr>
      <w:r w:rsidDel="00000000" w:rsidR="00000000" w:rsidRPr="00000000">
        <w:rPr>
          <w:rtl w:val="0"/>
        </w:rPr>
      </w:r>
    </w:p>
    <w:p w:rsidR="00000000" w:rsidDel="00000000" w:rsidP="00000000" w:rsidRDefault="00000000" w:rsidRPr="00000000" w14:paraId="00000024">
      <w:pPr>
        <w:rPr>
          <w:b w:val="1"/>
          <w:sz w:val="22"/>
          <w:szCs w:val="22"/>
        </w:rPr>
      </w:pPr>
      <w:r w:rsidDel="00000000" w:rsidR="00000000" w:rsidRPr="00000000">
        <w:rPr>
          <w:rtl w:val="0"/>
        </w:rPr>
      </w:r>
    </w:p>
    <w:p w:rsidR="00000000" w:rsidDel="00000000" w:rsidP="00000000" w:rsidRDefault="00000000" w:rsidRPr="00000000" w14:paraId="00000025">
      <w:pPr>
        <w:rPr>
          <w:b w:val="1"/>
          <w:sz w:val="22"/>
          <w:szCs w:val="22"/>
        </w:rPr>
      </w:pPr>
      <w:r w:rsidDel="00000000" w:rsidR="00000000" w:rsidRPr="00000000">
        <w:rPr>
          <w:rtl w:val="0"/>
        </w:rPr>
      </w:r>
    </w:p>
    <w:p w:rsidR="00000000" w:rsidDel="00000000" w:rsidP="00000000" w:rsidRDefault="00000000" w:rsidRPr="00000000" w14:paraId="00000026">
      <w:pPr>
        <w:rPr>
          <w:b w:val="1"/>
          <w:sz w:val="22"/>
          <w:szCs w:val="22"/>
        </w:rPr>
      </w:pPr>
      <w:r w:rsidDel="00000000" w:rsidR="00000000" w:rsidRPr="00000000">
        <w:rPr>
          <w:rtl w:val="0"/>
        </w:rPr>
      </w:r>
    </w:p>
    <w:p w:rsidR="00000000" w:rsidDel="00000000" w:rsidP="00000000" w:rsidRDefault="00000000" w:rsidRPr="00000000" w14:paraId="00000027">
      <w:pPr>
        <w:rPr>
          <w:b w:val="1"/>
          <w:sz w:val="22"/>
          <w:szCs w:val="22"/>
        </w:rPr>
      </w:pPr>
      <w:r w:rsidDel="00000000" w:rsidR="00000000" w:rsidRPr="00000000">
        <w:rPr>
          <w:rtl w:val="0"/>
        </w:rPr>
      </w:r>
    </w:p>
    <w:p w:rsidR="00000000" w:rsidDel="00000000" w:rsidP="00000000" w:rsidRDefault="00000000" w:rsidRPr="00000000" w14:paraId="00000028">
      <w:pPr>
        <w:rPr>
          <w:b w:val="1"/>
          <w:sz w:val="22"/>
          <w:szCs w:val="22"/>
        </w:rPr>
      </w:pPr>
      <w:r w:rsidDel="00000000" w:rsidR="00000000" w:rsidRPr="00000000">
        <w:rPr>
          <w:b w:val="1"/>
          <w:sz w:val="22"/>
          <w:szCs w:val="22"/>
          <w:rtl w:val="0"/>
        </w:rPr>
        <w:t xml:space="preserve">What does is cover?</w:t>
      </w:r>
    </w:p>
    <w:p w:rsidR="00000000" w:rsidDel="00000000" w:rsidP="00000000" w:rsidRDefault="00000000" w:rsidRPr="00000000" w14:paraId="00000029">
      <w:pPr>
        <w:ind w:left="60"/>
        <w:rPr>
          <w:sz w:val="22"/>
          <w:szCs w:val="22"/>
        </w:rPr>
      </w:pPr>
      <w:r w:rsidDel="00000000" w:rsidR="00000000" w:rsidRPr="00000000">
        <w:rPr>
          <w:sz w:val="22"/>
          <w:szCs w:val="22"/>
          <w:rtl w:val="0"/>
        </w:rPr>
        <w:t xml:space="preserve">The per diem rate for M&amp;IE includes the following items:</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meals,</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 service, laundry, dry cleaning, and pressing of clothing, and</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Fees and tips for persons who provide services, such as food servers and luggage handlers.</w:t>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sz w:val="22"/>
          <w:szCs w:val="22"/>
          <w:rtl w:val="0"/>
        </w:rPr>
        <w:t xml:space="preserve">We understand that internet is a critical tool to ensure that we can do our work – additional payments for WiFi will be accepted above and beyond the normal rate if necessary and justified.</w:t>
      </w:r>
    </w:p>
    <w:p w:rsidR="00000000" w:rsidDel="00000000" w:rsidP="00000000" w:rsidRDefault="00000000" w:rsidRPr="00000000" w14:paraId="0000002F">
      <w:pPr>
        <w:rPr>
          <w:b w:val="1"/>
          <w:sz w:val="22"/>
          <w:szCs w:val="22"/>
        </w:rPr>
      </w:pPr>
      <w:r w:rsidDel="00000000" w:rsidR="00000000" w:rsidRPr="00000000">
        <w:rPr>
          <w:rtl w:val="0"/>
        </w:rPr>
      </w:r>
    </w:p>
    <w:p w:rsidR="00000000" w:rsidDel="00000000" w:rsidP="00000000" w:rsidRDefault="00000000" w:rsidRPr="00000000" w14:paraId="00000030">
      <w:pPr>
        <w:rPr>
          <w:b w:val="1"/>
          <w:sz w:val="22"/>
          <w:szCs w:val="22"/>
        </w:rPr>
      </w:pPr>
      <w:r w:rsidDel="00000000" w:rsidR="00000000" w:rsidRPr="00000000">
        <w:rPr>
          <w:b w:val="1"/>
          <w:sz w:val="22"/>
          <w:szCs w:val="22"/>
          <w:rtl w:val="0"/>
        </w:rPr>
        <w:t xml:space="preserve">How to expense Per Diem and what records to keep</w:t>
      </w:r>
    </w:p>
    <w:p w:rsidR="00000000" w:rsidDel="00000000" w:rsidP="00000000" w:rsidRDefault="00000000" w:rsidRPr="00000000" w14:paraId="00000031">
      <w:pPr>
        <w:ind w:left="60"/>
        <w:rPr>
          <w:sz w:val="22"/>
          <w:szCs w:val="22"/>
        </w:rPr>
      </w:pPr>
      <w:r w:rsidDel="00000000" w:rsidR="00000000" w:rsidRPr="00000000">
        <w:rPr>
          <w:sz w:val="22"/>
          <w:szCs w:val="22"/>
          <w:rtl w:val="0"/>
        </w:rPr>
        <w:t xml:space="preserve">The report must include:</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business purpose of the trip,</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date and place of the trip, and</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Receipts for lodging (if using the meals-only per diem rate).</w:t>
      </w:r>
    </w:p>
    <w:p w:rsidR="00000000" w:rsidDel="00000000" w:rsidP="00000000" w:rsidRDefault="00000000" w:rsidRPr="00000000" w14:paraId="00000035">
      <w:pPr>
        <w:ind w:left="60"/>
        <w:rPr>
          <w:sz w:val="22"/>
          <w:szCs w:val="22"/>
        </w:rPr>
      </w:pPr>
      <w:r w:rsidDel="00000000" w:rsidR="00000000" w:rsidRPr="00000000">
        <w:rPr>
          <w:rtl w:val="0"/>
        </w:rPr>
      </w:r>
    </w:p>
    <w:p w:rsidR="00000000" w:rsidDel="00000000" w:rsidP="00000000" w:rsidRDefault="00000000" w:rsidRPr="00000000" w14:paraId="00000036">
      <w:pPr>
        <w:ind w:left="60"/>
        <w:rPr>
          <w:b w:val="1"/>
          <w:sz w:val="22"/>
          <w:szCs w:val="22"/>
        </w:rPr>
      </w:pPr>
      <w:r w:rsidDel="00000000" w:rsidR="00000000" w:rsidRPr="00000000">
        <w:rPr>
          <w:b w:val="1"/>
          <w:sz w:val="22"/>
          <w:szCs w:val="22"/>
          <w:rtl w:val="0"/>
        </w:rPr>
        <w:t xml:space="preserve">In Country Travel</w:t>
      </w:r>
    </w:p>
    <w:p w:rsidR="00000000" w:rsidDel="00000000" w:rsidP="00000000" w:rsidRDefault="00000000" w:rsidRPr="00000000" w14:paraId="00000037">
      <w:pPr>
        <w:rPr>
          <w:sz w:val="22"/>
          <w:szCs w:val="22"/>
        </w:rPr>
      </w:pPr>
      <w:r w:rsidDel="00000000" w:rsidR="00000000" w:rsidRPr="00000000">
        <w:rPr>
          <w:sz w:val="22"/>
          <w:szCs w:val="22"/>
          <w:rtl w:val="0"/>
        </w:rPr>
        <w:t xml:space="preserve">All in-country travel is expensed separately to meals, incidentals and accommodation. When travelling in a country in which we work, employees should as far as possible use country office vehicles and public transport.  Taxis and car calling services will only be permitted to and from the airport with luggage, except where there is a legitimate safety concern.  All travel must be itemized and include reason for travel.  Please use the AL Uber account if at all possible.</w:t>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rPr>
          <w:b w:val="1"/>
          <w:sz w:val="22"/>
          <w:szCs w:val="22"/>
        </w:rPr>
      </w:pPr>
      <w:r w:rsidDel="00000000" w:rsidR="00000000" w:rsidRPr="00000000">
        <w:rPr>
          <w:b w:val="1"/>
          <w:sz w:val="22"/>
          <w:szCs w:val="22"/>
          <w:rtl w:val="0"/>
        </w:rPr>
        <w:t xml:space="preserve">Expense Filing</w:t>
      </w:r>
    </w:p>
    <w:p w:rsidR="00000000" w:rsidDel="00000000" w:rsidP="00000000" w:rsidRDefault="00000000" w:rsidRPr="00000000" w14:paraId="0000003A">
      <w:pPr>
        <w:rPr>
          <w:sz w:val="22"/>
          <w:szCs w:val="22"/>
        </w:rPr>
      </w:pPr>
      <w:r w:rsidDel="00000000" w:rsidR="00000000" w:rsidRPr="00000000">
        <w:rPr>
          <w:sz w:val="22"/>
          <w:szCs w:val="22"/>
          <w:rtl w:val="0"/>
        </w:rPr>
        <w:t xml:space="preserve">The employee must file the expense report with the employer within a reasonable period of time (30 days). If any of these requirements are not met, the payment is taxable to the employee.</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sz w:val="22"/>
          <w:szCs w:val="22"/>
          <w:rtl w:val="0"/>
        </w:rPr>
        <w:t xml:space="preserve"> </w:t>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These amounts are based on a heavily reduced State and average state department DSA, as prescribed by the IRS, </w:t>
      </w:r>
      <w:hyperlink r:id="rId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https://aoprals.state.gov/web920/per_diem.asp</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https://www.gsa.gov/travel/plan-book/per-diem-rates</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per state is often more (particularly in DC) but this is an average.</w:t>
      </w:r>
    </w:p>
  </w:footnote>
  <w:footnote w:id="2">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This can be increased to $150 per night for one or two night stays in New York City or San Francisco where the cost of living is significantly higher.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center"/>
      <w:rPr/>
    </w:pPr>
    <w:r w:rsidDel="00000000" w:rsidR="00000000" w:rsidRPr="00000000">
      <w:rPr/>
      <w:drawing>
        <wp:inline distB="114300" distT="114300" distL="114300" distR="114300">
          <wp:extent cx="2247900" cy="3333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47900" cy="3333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Times New Roman" w:cs="Times New Roman" w:eastAsia="Times New Roman" w:hAnsi="Times New Roman"/>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EC2D5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63A37"/>
    <w:pPr>
      <w:ind w:left="720"/>
      <w:contextualSpacing w:val="1"/>
    </w:pPr>
  </w:style>
  <w:style w:type="table" w:styleId="TableGrid">
    <w:name w:val="Table Grid"/>
    <w:basedOn w:val="TableNormal"/>
    <w:uiPriority w:val="39"/>
    <w:rsid w:val="00563A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5F7109"/>
    <w:rPr>
      <w:sz w:val="20"/>
      <w:szCs w:val="20"/>
    </w:rPr>
  </w:style>
  <w:style w:type="character" w:styleId="FootnoteTextChar" w:customStyle="1">
    <w:name w:val="Footnote Text Char"/>
    <w:basedOn w:val="DefaultParagraphFont"/>
    <w:link w:val="FootnoteText"/>
    <w:uiPriority w:val="99"/>
    <w:semiHidden w:val="1"/>
    <w:rsid w:val="005F7109"/>
    <w:rPr>
      <w:sz w:val="20"/>
      <w:szCs w:val="20"/>
    </w:rPr>
  </w:style>
  <w:style w:type="character" w:styleId="FootnoteReference">
    <w:name w:val="footnote reference"/>
    <w:basedOn w:val="DefaultParagraphFont"/>
    <w:uiPriority w:val="99"/>
    <w:semiHidden w:val="1"/>
    <w:unhideWhenUsed w:val="1"/>
    <w:rsid w:val="005F7109"/>
    <w:rPr>
      <w:vertAlign w:val="superscript"/>
    </w:rPr>
  </w:style>
  <w:style w:type="character" w:styleId="Hyperlink">
    <w:name w:val="Hyperlink"/>
    <w:basedOn w:val="DefaultParagraphFont"/>
    <w:uiPriority w:val="99"/>
    <w:unhideWhenUsed w:val="1"/>
    <w:rsid w:val="005F7109"/>
    <w:rPr>
      <w:color w:val="0563c1" w:themeColor="hyperlink"/>
      <w:u w:val="single"/>
    </w:rPr>
  </w:style>
  <w:style w:type="character" w:styleId="UnresolvedMention">
    <w:name w:val="Unresolved Mention"/>
    <w:basedOn w:val="DefaultParagraphFont"/>
    <w:uiPriority w:val="99"/>
    <w:semiHidden w:val="1"/>
    <w:unhideWhenUsed w:val="1"/>
    <w:rsid w:val="005F7109"/>
    <w:rPr>
      <w:color w:val="605e5c"/>
      <w:shd w:color="auto" w:fill="e1dfdd" w:val="clear"/>
    </w:rPr>
  </w:style>
  <w:style w:type="character" w:styleId="Heading2Char" w:customStyle="1">
    <w:name w:val="Heading 2 Char"/>
    <w:basedOn w:val="DefaultParagraphFont"/>
    <w:link w:val="Heading2"/>
    <w:uiPriority w:val="9"/>
    <w:rsid w:val="00EC2D5D"/>
    <w:rPr>
      <w:rFonts w:asciiTheme="majorHAnsi" w:cstheme="majorBidi" w:eastAsiaTheme="majorEastAsia" w:hAnsiTheme="majorHAnsi"/>
      <w:color w:val="2f5496" w:themeColor="accent1" w:themeShade="0000BF"/>
      <w:sz w:val="26"/>
      <w:szCs w:val="26"/>
    </w:rPr>
  </w:style>
  <w:style w:type="paragraph" w:styleId="BalloonText">
    <w:name w:val="Balloon Text"/>
    <w:basedOn w:val="Normal"/>
    <w:link w:val="BalloonTextChar"/>
    <w:uiPriority w:val="99"/>
    <w:semiHidden w:val="1"/>
    <w:unhideWhenUsed w:val="1"/>
    <w:rsid w:val="00031F7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31F75"/>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oprals.state.gov/web920/per_diem.asp" TargetMode="External"/><Relationship Id="rId2" Type="http://schemas.openxmlformats.org/officeDocument/2006/relationships/hyperlink" Target="https://www.gsa.gov/travel/plan-book/per-diem-r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E0lVpb1UY7o/QUBcIoen9n8iGg==">AMUW2mVlheEkLhZMw1K/dkbid+QoLHVr20lH4+WBl3T1smDyPp8hV7PWExDMWxhbfSc7kbS2FeF3xU2emOeM/GPA5regAI3xsXA0cxuZAF8PUOiB80MeaXc=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2018-12-04T20:56:00Z</dcterms:created>
  <dc:creator>Jean Scrimgeour</dc:creator>
</cp:coreProperties>
</file>