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bookmarkStart w:colFirst="0" w:colLast="0" w:name="_heading=h.gjdgxs" w:id="0"/>
      <w:bookmarkEnd w:id="0"/>
      <w:r w:rsidDel="00000000" w:rsidR="00000000" w:rsidRPr="00000000">
        <w:rPr>
          <w:b w:val="1"/>
          <w:smallCaps w:val="1"/>
        </w:rPr>
        <w:drawing>
          <wp:inline distB="0" distT="0" distL="0" distR="0">
            <wp:extent cx="3165835" cy="475300"/>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165835" cy="4753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jc w:val="center"/>
        <w:rPr>
          <w:b w:val="1"/>
          <w:sz w:val="22"/>
          <w:szCs w:val="22"/>
        </w:rPr>
      </w:pPr>
      <w:r w:rsidDel="00000000" w:rsidR="00000000" w:rsidRPr="00000000">
        <w:rPr>
          <w:b w:val="1"/>
          <w:sz w:val="22"/>
          <w:szCs w:val="22"/>
          <w:rtl w:val="0"/>
        </w:rPr>
        <w:t xml:space="preserve">Combating Trafficking in Persons Policy</w:t>
      </w:r>
    </w:p>
    <w:p w:rsidR="00000000" w:rsidDel="00000000" w:rsidP="00000000" w:rsidRDefault="00000000" w:rsidRPr="00000000" w14:paraId="00000005">
      <w:pPr>
        <w:jc w:val="center"/>
        <w:rPr>
          <w:b w:val="1"/>
          <w:sz w:val="22"/>
          <w:szCs w:val="22"/>
        </w:rPr>
      </w:pPr>
      <w:r w:rsidDel="00000000" w:rsidR="00000000" w:rsidRPr="00000000">
        <w:rPr>
          <w:rtl w:val="0"/>
        </w:rPr>
      </w:r>
    </w:p>
    <w:p w:rsidR="00000000" w:rsidDel="00000000" w:rsidP="00000000" w:rsidRDefault="00000000" w:rsidRPr="00000000" w14:paraId="00000006">
      <w:pPr>
        <w:shd w:fill="ffffff" w:val="clear"/>
        <w:rPr>
          <w:b w:val="1"/>
          <w:sz w:val="22"/>
          <w:szCs w:val="22"/>
        </w:rPr>
      </w:pPr>
      <w:r w:rsidDel="00000000" w:rsidR="00000000" w:rsidRPr="00000000">
        <w:rPr>
          <w:b w:val="1"/>
          <w:sz w:val="22"/>
          <w:szCs w:val="22"/>
          <w:rtl w:val="0"/>
        </w:rPr>
        <w:t xml:space="preserve">Purpose</w:t>
      </w:r>
    </w:p>
    <w:p w:rsidR="00000000" w:rsidDel="00000000" w:rsidP="00000000" w:rsidRDefault="00000000" w:rsidRPr="00000000" w14:paraId="00000007">
      <w:pPr>
        <w:shd w:fill="ffffff" w:val="clear"/>
        <w:rPr>
          <w:b w:val="1"/>
          <w:sz w:val="22"/>
          <w:szCs w:val="22"/>
        </w:rPr>
      </w:pPr>
      <w:r w:rsidDel="00000000" w:rsidR="00000000" w:rsidRPr="00000000">
        <w:rPr>
          <w:rtl w:val="0"/>
        </w:rPr>
      </w:r>
    </w:p>
    <w:p w:rsidR="00000000" w:rsidDel="00000000" w:rsidP="00000000" w:rsidRDefault="00000000" w:rsidRPr="00000000" w14:paraId="00000008">
      <w:pPr>
        <w:rPr>
          <w:sz w:val="22"/>
          <w:szCs w:val="22"/>
        </w:rPr>
      </w:pPr>
      <w:r w:rsidDel="00000000" w:rsidR="00000000" w:rsidRPr="00000000">
        <w:rPr>
          <w:sz w:val="22"/>
          <w:szCs w:val="22"/>
          <w:rtl w:val="0"/>
        </w:rPr>
        <w:t xml:space="preserve">This policy describes the Accountability Lab’s guiding principles with respect to combating trafficking in persons. The Accountability Lab is opposed to all forms of trafficking in persons and is committed to mitigating the risk of trafficking in persons in connection with its operations and programs. Accountability Lab is committed to full compliance with the U.S. Government’s laws, regulations, and policies that prohibit trafficking in persons, including </w:t>
      </w:r>
      <w:hyperlink r:id="rId8">
        <w:r w:rsidDel="00000000" w:rsidR="00000000" w:rsidRPr="00000000">
          <w:rPr>
            <w:sz w:val="22"/>
            <w:szCs w:val="22"/>
            <w:u w:val="single"/>
            <w:rtl w:val="0"/>
          </w:rPr>
          <w:t xml:space="preserve">Executive Order 13627</w:t>
        </w:r>
      </w:hyperlink>
      <w:r w:rsidDel="00000000" w:rsidR="00000000" w:rsidRPr="00000000">
        <w:rPr>
          <w:sz w:val="22"/>
          <w:szCs w:val="22"/>
          <w:rtl w:val="0"/>
        </w:rPr>
        <w:t xml:space="preserve">, “Strengthening Protections Against Trafficking in Persons in Federal Contracts”; </w:t>
      </w:r>
      <w:hyperlink r:id="rId9">
        <w:r w:rsidDel="00000000" w:rsidR="00000000" w:rsidRPr="00000000">
          <w:rPr>
            <w:sz w:val="22"/>
            <w:szCs w:val="22"/>
            <w:u w:val="single"/>
            <w:rtl w:val="0"/>
          </w:rPr>
          <w:t xml:space="preserve">FAR Subpart 22.17</w:t>
        </w:r>
      </w:hyperlink>
      <w:r w:rsidDel="00000000" w:rsidR="00000000" w:rsidRPr="00000000">
        <w:rPr>
          <w:sz w:val="22"/>
          <w:szCs w:val="22"/>
          <w:rtl w:val="0"/>
        </w:rPr>
        <w:t xml:space="preserve">; </w:t>
      </w:r>
      <w:hyperlink r:id="rId10">
        <w:r w:rsidDel="00000000" w:rsidR="00000000" w:rsidRPr="00000000">
          <w:rPr>
            <w:sz w:val="22"/>
            <w:szCs w:val="22"/>
            <w:u w:val="single"/>
            <w:rtl w:val="0"/>
          </w:rPr>
          <w:t xml:space="preserve">FAR 52.222-50</w:t>
        </w:r>
      </w:hyperlink>
      <w:r w:rsidDel="00000000" w:rsidR="00000000" w:rsidRPr="00000000">
        <w:rPr>
          <w:sz w:val="22"/>
          <w:szCs w:val="22"/>
          <w:rtl w:val="0"/>
        </w:rPr>
        <w:t xml:space="preserve">; </w:t>
      </w:r>
      <w:hyperlink r:id="rId11">
        <w:r w:rsidDel="00000000" w:rsidR="00000000" w:rsidRPr="00000000">
          <w:rPr>
            <w:sz w:val="22"/>
            <w:szCs w:val="22"/>
            <w:u w:val="single"/>
            <w:rtl w:val="0"/>
          </w:rPr>
          <w:t xml:space="preserve">FAR 52.222-56</w:t>
        </w:r>
      </w:hyperlink>
      <w:r w:rsidDel="00000000" w:rsidR="00000000" w:rsidRPr="00000000">
        <w:rPr>
          <w:sz w:val="22"/>
          <w:szCs w:val="22"/>
          <w:rtl w:val="0"/>
        </w:rPr>
        <w:t xml:space="preserve">; </w:t>
      </w:r>
      <w:hyperlink r:id="rId12">
        <w:r w:rsidDel="00000000" w:rsidR="00000000" w:rsidRPr="00000000">
          <w:rPr>
            <w:sz w:val="22"/>
            <w:szCs w:val="22"/>
            <w:u w:val="single"/>
            <w:rtl w:val="0"/>
          </w:rPr>
          <w:t xml:space="preserve">USAID’s Standard Provisions regarding Trafficking in Persons</w:t>
        </w:r>
      </w:hyperlink>
      <w:r w:rsidDel="00000000" w:rsidR="00000000" w:rsidRPr="00000000">
        <w:rPr>
          <w:sz w:val="22"/>
          <w:szCs w:val="22"/>
          <w:rtl w:val="0"/>
        </w:rPr>
        <w:t xml:space="preserve">; the U.K. Government’s </w:t>
      </w:r>
      <w:hyperlink r:id="rId13">
        <w:r w:rsidDel="00000000" w:rsidR="00000000" w:rsidRPr="00000000">
          <w:rPr>
            <w:sz w:val="22"/>
            <w:szCs w:val="22"/>
            <w:u w:val="single"/>
            <w:rtl w:val="0"/>
          </w:rPr>
          <w:t xml:space="preserve">Modern Slavery Act</w:t>
        </w:r>
      </w:hyperlink>
      <w:r w:rsidDel="00000000" w:rsidR="00000000" w:rsidRPr="00000000">
        <w:rPr>
          <w:sz w:val="22"/>
          <w:szCs w:val="22"/>
          <w:rtl w:val="0"/>
        </w:rPr>
        <w:t xml:space="preserve">; and any other regulations from other agencies and governments, as applicable. The Accountability Lab leadership understands the importance of anti-trafficking and has devoted resources to promote compliance. </w:t>
      </w:r>
    </w:p>
    <w:p w:rsidR="00000000" w:rsidDel="00000000" w:rsidP="00000000" w:rsidRDefault="00000000" w:rsidRPr="00000000" w14:paraId="00000009">
      <w:pPr>
        <w:rPr>
          <w:sz w:val="22"/>
          <w:szCs w:val="22"/>
        </w:rPr>
      </w:pPr>
      <w:r w:rsidDel="00000000" w:rsidR="00000000" w:rsidRPr="00000000">
        <w:rPr>
          <w:rtl w:val="0"/>
        </w:rPr>
      </w:r>
    </w:p>
    <w:p w:rsidR="00000000" w:rsidDel="00000000" w:rsidP="00000000" w:rsidRDefault="00000000" w:rsidRPr="00000000" w14:paraId="0000000A">
      <w:pPr>
        <w:rPr>
          <w:b w:val="1"/>
          <w:sz w:val="22"/>
          <w:szCs w:val="22"/>
        </w:rPr>
      </w:pPr>
      <w:r w:rsidDel="00000000" w:rsidR="00000000" w:rsidRPr="00000000">
        <w:rPr>
          <w:b w:val="1"/>
          <w:sz w:val="22"/>
          <w:szCs w:val="22"/>
          <w:rtl w:val="0"/>
        </w:rPr>
        <w:t xml:space="preserve">Applicability</w:t>
      </w:r>
    </w:p>
    <w:p w:rsidR="00000000" w:rsidDel="00000000" w:rsidP="00000000" w:rsidRDefault="00000000" w:rsidRPr="00000000" w14:paraId="0000000B">
      <w:pPr>
        <w:rPr>
          <w:sz w:val="22"/>
          <w:szCs w:val="22"/>
        </w:rPr>
      </w:pPr>
      <w:r w:rsidDel="00000000" w:rsidR="00000000" w:rsidRPr="00000000">
        <w:rPr>
          <w:sz w:val="22"/>
          <w:szCs w:val="22"/>
          <w:rtl w:val="0"/>
        </w:rPr>
        <w:t xml:space="preserve">This policy applies to:</w:t>
      </w:r>
    </w:p>
    <w:p w:rsidR="00000000" w:rsidDel="00000000" w:rsidP="00000000" w:rsidRDefault="00000000" w:rsidRPr="00000000" w14:paraId="0000000C">
      <w:pPr>
        <w:numPr>
          <w:ilvl w:val="0"/>
          <w:numId w:val="3"/>
        </w:numPr>
        <w:shd w:fill="ffffff" w:val="clear"/>
        <w:ind w:left="225" w:hanging="360"/>
        <w:rPr>
          <w:sz w:val="22"/>
          <w:szCs w:val="22"/>
        </w:rPr>
      </w:pPr>
      <w:r w:rsidDel="00000000" w:rsidR="00000000" w:rsidRPr="00000000">
        <w:rPr>
          <w:sz w:val="22"/>
          <w:szCs w:val="22"/>
          <w:rtl w:val="0"/>
        </w:rPr>
        <w:t xml:space="preserve">Accountability Lab staff and volunteers, including the Board of Directors</w:t>
      </w:r>
    </w:p>
    <w:p w:rsidR="00000000" w:rsidDel="00000000" w:rsidP="00000000" w:rsidRDefault="00000000" w:rsidRPr="00000000" w14:paraId="0000000D">
      <w:pPr>
        <w:numPr>
          <w:ilvl w:val="0"/>
          <w:numId w:val="3"/>
        </w:numPr>
        <w:shd w:fill="ffffff" w:val="clear"/>
        <w:ind w:left="225" w:hanging="360"/>
        <w:rPr>
          <w:sz w:val="22"/>
          <w:szCs w:val="22"/>
        </w:rPr>
      </w:pPr>
      <w:r w:rsidDel="00000000" w:rsidR="00000000" w:rsidRPr="00000000">
        <w:rPr>
          <w:sz w:val="22"/>
          <w:szCs w:val="22"/>
          <w:rtl w:val="0"/>
        </w:rPr>
        <w:t xml:space="preserve">Accountability Lab suppliers: Sub-awardees (and their staff and volunteers), independent contractors, and vendors and their employees</w:t>
      </w:r>
    </w:p>
    <w:p w:rsidR="00000000" w:rsidDel="00000000" w:rsidP="00000000" w:rsidRDefault="00000000" w:rsidRPr="00000000" w14:paraId="0000000E">
      <w:pPr>
        <w:rPr>
          <w:sz w:val="22"/>
          <w:szCs w:val="22"/>
        </w:rPr>
      </w:pPr>
      <w:r w:rsidDel="00000000" w:rsidR="00000000" w:rsidRPr="00000000">
        <w:rPr>
          <w:rtl w:val="0"/>
        </w:rPr>
      </w:r>
    </w:p>
    <w:p w:rsidR="00000000" w:rsidDel="00000000" w:rsidP="00000000" w:rsidRDefault="00000000" w:rsidRPr="00000000" w14:paraId="0000000F">
      <w:pPr>
        <w:rPr>
          <w:b w:val="1"/>
          <w:sz w:val="22"/>
          <w:szCs w:val="22"/>
        </w:rPr>
      </w:pPr>
      <w:r w:rsidDel="00000000" w:rsidR="00000000" w:rsidRPr="00000000">
        <w:rPr>
          <w:b w:val="1"/>
          <w:sz w:val="22"/>
          <w:szCs w:val="22"/>
          <w:rtl w:val="0"/>
        </w:rPr>
        <w:t xml:space="preserve">General Guidelines</w:t>
      </w:r>
    </w:p>
    <w:p w:rsidR="00000000" w:rsidDel="00000000" w:rsidP="00000000" w:rsidRDefault="00000000" w:rsidRPr="00000000" w14:paraId="00000010">
      <w:pPr>
        <w:rPr>
          <w:sz w:val="22"/>
          <w:szCs w:val="22"/>
        </w:rPr>
      </w:pPr>
      <w:r w:rsidDel="00000000" w:rsidR="00000000" w:rsidRPr="00000000">
        <w:rPr>
          <w:sz w:val="22"/>
          <w:szCs w:val="22"/>
          <w:rtl w:val="0"/>
        </w:rPr>
        <w:t xml:space="preserve">Accountability Lab prohibits:</w:t>
      </w:r>
    </w:p>
    <w:p w:rsidR="00000000" w:rsidDel="00000000" w:rsidP="00000000" w:rsidRDefault="00000000" w:rsidRPr="00000000" w14:paraId="00000011">
      <w:pPr>
        <w:keepNext w:val="0"/>
        <w:keepLines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225" w:right="0" w:hanging="360"/>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Engaging in any form of human trafficking</w:t>
      </w:r>
      <w:r w:rsidDel="00000000" w:rsidR="00000000" w:rsidRPr="00000000">
        <w:rPr>
          <w:rtl w:val="0"/>
        </w:rPr>
      </w:r>
    </w:p>
    <w:p w:rsidR="00000000" w:rsidDel="00000000" w:rsidP="00000000" w:rsidRDefault="00000000" w:rsidRPr="00000000" w14:paraId="00000012">
      <w:pPr>
        <w:keepNext w:val="0"/>
        <w:keepLines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225" w:right="0" w:hanging="360"/>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Engaging in commercial sex acts that may be directly associated with Accountability Lab, which includes during work hours, while attending off-site functions, and any time in work travel status</w:t>
      </w:r>
      <w:r w:rsidDel="00000000" w:rsidR="00000000" w:rsidRPr="00000000">
        <w:rPr>
          <w:rtl w:val="0"/>
        </w:rPr>
      </w:r>
    </w:p>
    <w:p w:rsidR="00000000" w:rsidDel="00000000" w:rsidP="00000000" w:rsidRDefault="00000000" w:rsidRPr="00000000" w14:paraId="00000013">
      <w:pPr>
        <w:keepNext w:val="0"/>
        <w:keepLines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225" w:right="0" w:hanging="360"/>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Using forced labor of any kind for any reason</w:t>
      </w:r>
      <w:r w:rsidDel="00000000" w:rsidR="00000000" w:rsidRPr="00000000">
        <w:rPr>
          <w:rtl w:val="0"/>
        </w:rPr>
      </w:r>
    </w:p>
    <w:p w:rsidR="00000000" w:rsidDel="00000000" w:rsidP="00000000" w:rsidRDefault="00000000" w:rsidRPr="00000000" w14:paraId="00000014">
      <w:pPr>
        <w:keepNext w:val="0"/>
        <w:keepLines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225" w:right="0" w:hanging="360"/>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Destroying, concealing, confiscating, or otherwise denying access by an employee to the employee’s identity or immigration documents</w:t>
      </w:r>
      <w:r w:rsidDel="00000000" w:rsidR="00000000" w:rsidRPr="00000000">
        <w:rPr>
          <w:rtl w:val="0"/>
        </w:rPr>
      </w:r>
    </w:p>
    <w:p w:rsidR="00000000" w:rsidDel="00000000" w:rsidP="00000000" w:rsidRDefault="00000000" w:rsidRPr="00000000" w14:paraId="00000015">
      <w:pPr>
        <w:keepNext w:val="0"/>
        <w:keepLines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225" w:right="0" w:hanging="360"/>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Using misleading or fraudulent recruiting practices</w:t>
      </w:r>
      <w:r w:rsidDel="00000000" w:rsidR="00000000" w:rsidRPr="00000000">
        <w:rPr>
          <w:rtl w:val="0"/>
        </w:rPr>
      </w:r>
    </w:p>
    <w:p w:rsidR="00000000" w:rsidDel="00000000" w:rsidP="00000000" w:rsidRDefault="00000000" w:rsidRPr="00000000" w14:paraId="00000016">
      <w:pPr>
        <w:keepNext w:val="0"/>
        <w:keepLines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225" w:right="0" w:hanging="360"/>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Charging employee candidates recruitment fees for employment</w:t>
      </w:r>
      <w:r w:rsidDel="00000000" w:rsidR="00000000" w:rsidRPr="00000000">
        <w:rPr>
          <w:rtl w:val="0"/>
        </w:rPr>
      </w:r>
    </w:p>
    <w:p w:rsidR="00000000" w:rsidDel="00000000" w:rsidP="00000000" w:rsidRDefault="00000000" w:rsidRPr="00000000" w14:paraId="00000017">
      <w:pPr>
        <w:keepNext w:val="0"/>
        <w:keepLines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225" w:right="0" w:hanging="360"/>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Failing to pay contractually agreed return transportation costs for certain employees who have finished employment outside that employee’s nation of residence</w:t>
      </w:r>
      <w:r w:rsidDel="00000000" w:rsidR="00000000" w:rsidRPr="00000000">
        <w:rPr>
          <w:rtl w:val="0"/>
        </w:rPr>
      </w:r>
    </w:p>
    <w:p w:rsidR="00000000" w:rsidDel="00000000" w:rsidP="00000000" w:rsidRDefault="00000000" w:rsidRPr="00000000" w14:paraId="00000018">
      <w:pPr>
        <w:keepNext w:val="0"/>
        <w:keepLines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225" w:right="0" w:hanging="360"/>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Providing or arranging housing that fails to meet the host country’s housing and safety standards</w:t>
      </w:r>
      <w:r w:rsidDel="00000000" w:rsidR="00000000" w:rsidRPr="00000000">
        <w:rPr>
          <w:rtl w:val="0"/>
        </w:rPr>
      </w:r>
    </w:p>
    <w:p w:rsidR="00000000" w:rsidDel="00000000" w:rsidP="00000000" w:rsidRDefault="00000000" w:rsidRPr="00000000" w14:paraId="00000019">
      <w:pPr>
        <w:keepNext w:val="0"/>
        <w:keepLines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225" w:right="0" w:hanging="360"/>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Failing to provide proof of employment or similar work document in writing prior to the employee departing from his or her country of origin</w:t>
      </w:r>
      <w:r w:rsidDel="00000000" w:rsidR="00000000" w:rsidRPr="00000000">
        <w:rPr>
          <w:rtl w:val="0"/>
        </w:rPr>
      </w:r>
    </w:p>
    <w:p w:rsidR="00000000" w:rsidDel="00000000" w:rsidP="00000000" w:rsidRDefault="00000000" w:rsidRPr="00000000" w14:paraId="0000001A">
      <w:pPr>
        <w:rPr>
          <w:sz w:val="22"/>
          <w:szCs w:val="22"/>
        </w:rPr>
      </w:pPr>
      <w:r w:rsidDel="00000000" w:rsidR="00000000" w:rsidRPr="00000000">
        <w:rPr>
          <w:rtl w:val="0"/>
        </w:rPr>
      </w:r>
    </w:p>
    <w:p w:rsidR="00000000" w:rsidDel="00000000" w:rsidP="00000000" w:rsidRDefault="00000000" w:rsidRPr="00000000" w14:paraId="0000001B">
      <w:pPr>
        <w:shd w:fill="ffffff" w:val="clear"/>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1C">
      <w:pPr>
        <w:shd w:fill="ffffff" w:val="clear"/>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1D">
      <w:pPr>
        <w:shd w:fill="ffffff" w:val="clear"/>
        <w:rPr>
          <w:rFonts w:ascii="Times New Roman" w:cs="Times New Roman" w:eastAsia="Times New Roman" w:hAnsi="Times New Roman"/>
        </w:rPr>
      </w:pPr>
      <w:r w:rsidDel="00000000" w:rsidR="00000000" w:rsidRPr="00000000">
        <w:rPr>
          <w:rFonts w:ascii="Calibri" w:cs="Calibri" w:eastAsia="Calibri" w:hAnsi="Calibri"/>
          <w:b w:val="1"/>
          <w:color w:val="000000"/>
          <w:rtl w:val="0"/>
        </w:rPr>
        <w:t xml:space="preserve">Policy Implementation</w:t>
      </w: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Fonts w:ascii="Calibri" w:cs="Calibri" w:eastAsia="Calibri" w:hAnsi="Calibri"/>
          <w:color w:val="000000"/>
          <w:rtl w:val="0"/>
        </w:rPr>
        <w:t xml:space="preserve">The Accountability Lab will implement this policy through:</w:t>
        <w:br w:type="textWrapping"/>
      </w:r>
      <w:r w:rsidDel="00000000" w:rsidR="00000000" w:rsidRPr="00000000">
        <w:rPr>
          <w:rtl w:val="0"/>
        </w:rPr>
      </w:r>
    </w:p>
    <w:p w:rsidR="00000000" w:rsidDel="00000000" w:rsidP="00000000" w:rsidRDefault="00000000" w:rsidRPr="00000000" w14:paraId="0000001F">
      <w:pPr>
        <w:numPr>
          <w:ilvl w:val="0"/>
          <w:numId w:val="5"/>
        </w:numPr>
        <w:shd w:fill="ffffff" w:val="clear"/>
        <w:ind w:left="225"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Employee acknowledgement of receipt of the policy and related training</w:t>
      </w:r>
    </w:p>
    <w:p w:rsidR="00000000" w:rsidDel="00000000" w:rsidP="00000000" w:rsidRDefault="00000000" w:rsidRPr="00000000" w14:paraId="00000020">
      <w:pPr>
        <w:numPr>
          <w:ilvl w:val="0"/>
          <w:numId w:val="5"/>
        </w:numPr>
        <w:shd w:fill="ffffff" w:val="clear"/>
        <w:ind w:left="225"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Compliance plans</w:t>
      </w:r>
    </w:p>
    <w:p w:rsidR="00000000" w:rsidDel="00000000" w:rsidP="00000000" w:rsidRDefault="00000000" w:rsidRPr="00000000" w14:paraId="00000021">
      <w:pPr>
        <w:numPr>
          <w:ilvl w:val="0"/>
          <w:numId w:val="5"/>
        </w:numPr>
        <w:shd w:fill="ffffff" w:val="clear"/>
        <w:ind w:left="225"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Incident reporting</w:t>
      </w:r>
    </w:p>
    <w:p w:rsidR="00000000" w:rsidDel="00000000" w:rsidP="00000000" w:rsidRDefault="00000000" w:rsidRPr="00000000" w14:paraId="00000022">
      <w:pPr>
        <w:shd w:fill="ffffff" w:val="clear"/>
        <w:ind w:left="-135"/>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3">
      <w:pPr>
        <w:shd w:fill="ffffff" w:val="clear"/>
        <w:ind w:left="-135"/>
        <w:rPr>
          <w:color w:val="000000"/>
          <w:sz w:val="22"/>
          <w:szCs w:val="22"/>
        </w:rPr>
      </w:pPr>
      <w:r w:rsidDel="00000000" w:rsidR="00000000" w:rsidRPr="00000000">
        <w:rPr>
          <w:color w:val="000000"/>
          <w:sz w:val="22"/>
          <w:szCs w:val="22"/>
          <w:rtl w:val="0"/>
        </w:rPr>
        <w:t xml:space="preserve">As required by a funder or local law, country offices may edit the related resources as listed at the end of this policy to ensure they are sensitive to the local context.  In addition, country offices may translate the policy and any of the related resources in local languages as required.  </w:t>
      </w:r>
    </w:p>
    <w:p w:rsidR="00000000" w:rsidDel="00000000" w:rsidP="00000000" w:rsidRDefault="00000000" w:rsidRPr="00000000" w14:paraId="00000024">
      <w:pPr>
        <w:shd w:fill="ffffff" w:val="clear"/>
        <w:ind w:left="-135"/>
        <w:rPr>
          <w:b w:val="1"/>
          <w:color w:val="000000"/>
          <w:sz w:val="22"/>
          <w:szCs w:val="22"/>
        </w:rPr>
      </w:pPr>
      <w:r w:rsidDel="00000000" w:rsidR="00000000" w:rsidRPr="00000000">
        <w:rPr>
          <w:rtl w:val="0"/>
        </w:rPr>
      </w:r>
    </w:p>
    <w:p w:rsidR="00000000" w:rsidDel="00000000" w:rsidP="00000000" w:rsidRDefault="00000000" w:rsidRPr="00000000" w14:paraId="00000025">
      <w:pPr>
        <w:shd w:fill="ffffff" w:val="clear"/>
        <w:ind w:left="-135"/>
        <w:rPr>
          <w:color w:val="000000"/>
          <w:sz w:val="22"/>
          <w:szCs w:val="22"/>
        </w:rPr>
      </w:pPr>
      <w:r w:rsidDel="00000000" w:rsidR="00000000" w:rsidRPr="00000000">
        <w:rPr>
          <w:b w:val="1"/>
          <w:color w:val="000000"/>
          <w:sz w:val="22"/>
          <w:szCs w:val="22"/>
          <w:rtl w:val="0"/>
        </w:rPr>
        <w:t xml:space="preserve">Receipt of the Policy and Training</w:t>
      </w:r>
      <w:r w:rsidDel="00000000" w:rsidR="00000000" w:rsidRPr="00000000">
        <w:rPr>
          <w:rtl w:val="0"/>
        </w:rPr>
      </w:r>
    </w:p>
    <w:p w:rsidR="00000000" w:rsidDel="00000000" w:rsidP="00000000" w:rsidRDefault="00000000" w:rsidRPr="00000000" w14:paraId="00000026">
      <w:pPr>
        <w:shd w:fill="ffffff" w:val="clear"/>
        <w:ind w:left="-135"/>
        <w:rPr>
          <w:color w:val="000000"/>
          <w:sz w:val="22"/>
          <w:szCs w:val="22"/>
        </w:rPr>
      </w:pPr>
      <w:r w:rsidDel="00000000" w:rsidR="00000000" w:rsidRPr="00000000">
        <w:rPr>
          <w:rtl w:val="0"/>
        </w:rPr>
      </w:r>
    </w:p>
    <w:p w:rsidR="00000000" w:rsidDel="00000000" w:rsidP="00000000" w:rsidRDefault="00000000" w:rsidRPr="00000000" w14:paraId="00000027">
      <w:pPr>
        <w:shd w:fill="ffffff" w:val="clear"/>
        <w:ind w:left="-135"/>
        <w:rPr>
          <w:color w:val="000000"/>
          <w:sz w:val="22"/>
          <w:szCs w:val="22"/>
        </w:rPr>
      </w:pPr>
      <w:r w:rsidDel="00000000" w:rsidR="00000000" w:rsidRPr="00000000">
        <w:rPr>
          <w:color w:val="000000"/>
          <w:sz w:val="22"/>
          <w:szCs w:val="22"/>
          <w:rtl w:val="0"/>
        </w:rPr>
        <w:t xml:space="preserve">All Accountability Lab staff will acknowledge receipt and understanding of Accountability Lab's Combating Trafficking in Persons Policy and accompanying resources upon hire and annually when they complete the </w:t>
      </w:r>
      <w:hyperlink r:id="rId14">
        <w:r w:rsidDel="00000000" w:rsidR="00000000" w:rsidRPr="00000000">
          <w:rPr>
            <w:color w:val="000000"/>
            <w:sz w:val="22"/>
            <w:szCs w:val="22"/>
            <w:u w:val="single"/>
            <w:rtl w:val="0"/>
          </w:rPr>
          <w:t xml:space="preserve">Code of Ethics</w:t>
        </w:r>
      </w:hyperlink>
      <w:r w:rsidDel="00000000" w:rsidR="00000000" w:rsidRPr="00000000">
        <w:rPr>
          <w:color w:val="000000"/>
          <w:sz w:val="22"/>
          <w:szCs w:val="22"/>
          <w:rtl w:val="0"/>
        </w:rPr>
        <w:t xml:space="preserve"> training. Accountability Lab employees are responsible for complying with this policy as well as completing any associated training mandated as a condition of continued employment.  When engaging outside parties, Accountability Lab staff will ensure that the requirements of this policy are communicated to Accountability Lab sub-awardees, independent contractors, and vendors. </w:t>
      </w:r>
    </w:p>
    <w:p w:rsidR="00000000" w:rsidDel="00000000" w:rsidP="00000000" w:rsidRDefault="00000000" w:rsidRPr="00000000" w14:paraId="00000028">
      <w:pPr>
        <w:shd w:fill="ffffff" w:val="clear"/>
        <w:ind w:left="-135"/>
        <w:rPr>
          <w:b w:val="1"/>
          <w:color w:val="000000"/>
          <w:sz w:val="22"/>
          <w:szCs w:val="22"/>
        </w:rPr>
      </w:pPr>
      <w:r w:rsidDel="00000000" w:rsidR="00000000" w:rsidRPr="00000000">
        <w:rPr>
          <w:rtl w:val="0"/>
        </w:rPr>
      </w:r>
    </w:p>
    <w:p w:rsidR="00000000" w:rsidDel="00000000" w:rsidP="00000000" w:rsidRDefault="00000000" w:rsidRPr="00000000" w14:paraId="00000029">
      <w:pPr>
        <w:shd w:fill="ffffff" w:val="clear"/>
        <w:ind w:left="-135"/>
        <w:rPr>
          <w:sz w:val="22"/>
          <w:szCs w:val="22"/>
        </w:rPr>
      </w:pPr>
      <w:r w:rsidDel="00000000" w:rsidR="00000000" w:rsidRPr="00000000">
        <w:rPr>
          <w:b w:val="1"/>
          <w:color w:val="000000"/>
          <w:sz w:val="22"/>
          <w:szCs w:val="22"/>
          <w:rtl w:val="0"/>
        </w:rPr>
        <w:t xml:space="preserve">Incident Reporting</w:t>
      </w:r>
      <w:r w:rsidDel="00000000" w:rsidR="00000000" w:rsidRPr="00000000">
        <w:rPr>
          <w:rtl w:val="0"/>
        </w:rPr>
      </w:r>
    </w:p>
    <w:p w:rsidR="00000000" w:rsidDel="00000000" w:rsidP="00000000" w:rsidRDefault="00000000" w:rsidRPr="00000000" w14:paraId="0000002A">
      <w:pPr>
        <w:shd w:fill="ffffff" w:val="clear"/>
        <w:ind w:left="-135"/>
        <w:rPr>
          <w:sz w:val="22"/>
          <w:szCs w:val="22"/>
        </w:rPr>
      </w:pPr>
      <w:r w:rsidDel="00000000" w:rsidR="00000000" w:rsidRPr="00000000">
        <w:rPr>
          <w:color w:val="000000"/>
          <w:sz w:val="22"/>
          <w:szCs w:val="22"/>
          <w:rtl w:val="0"/>
        </w:rPr>
        <w:t xml:space="preserve">All Accountability Lab staff are required to use their best judgement to report any suspected trafficking activity to their Country Director, Executive Director, or other appropriate authority; or the Global Human Trafficking Hotline at 1-844-888-FREE or </w:t>
      </w:r>
      <w:hyperlink r:id="rId15">
        <w:r w:rsidDel="00000000" w:rsidR="00000000" w:rsidRPr="00000000">
          <w:rPr>
            <w:color w:val="0000ff"/>
            <w:sz w:val="22"/>
            <w:szCs w:val="22"/>
            <w:u w:val="single"/>
            <w:rtl w:val="0"/>
          </w:rPr>
          <w:t xml:space="preserve">help@befree.org.</w:t>
        </w:r>
      </w:hyperlink>
      <w:hyperlink r:id="rId16">
        <w:r w:rsidDel="00000000" w:rsidR="00000000" w:rsidRPr="00000000">
          <w:rPr>
            <w:color w:val="000000"/>
            <w:sz w:val="22"/>
            <w:szCs w:val="22"/>
            <w:rtl w:val="0"/>
          </w:rPr>
          <w:br w:type="textWrapping"/>
        </w:r>
      </w:hyperlink>
      <w:r w:rsidDel="00000000" w:rsidR="00000000" w:rsidRPr="00000000">
        <w:rPr>
          <w:rtl w:val="0"/>
        </w:rPr>
      </w:r>
    </w:p>
    <w:p w:rsidR="00000000" w:rsidDel="00000000" w:rsidP="00000000" w:rsidRDefault="00000000" w:rsidRPr="00000000" w14:paraId="0000002B">
      <w:pPr>
        <w:shd w:fill="ffffff" w:val="clear"/>
        <w:ind w:left="-135"/>
        <w:rPr>
          <w:sz w:val="22"/>
          <w:szCs w:val="22"/>
        </w:rPr>
      </w:pPr>
      <w:r w:rsidDel="00000000" w:rsidR="00000000" w:rsidRPr="00000000">
        <w:rPr>
          <w:b w:val="1"/>
          <w:color w:val="000000"/>
          <w:sz w:val="22"/>
          <w:szCs w:val="22"/>
          <w:rtl w:val="0"/>
        </w:rPr>
        <w:t xml:space="preserve">Enforcement</w:t>
      </w:r>
      <w:r w:rsidDel="00000000" w:rsidR="00000000" w:rsidRPr="00000000">
        <w:rPr>
          <w:rtl w:val="0"/>
        </w:rPr>
      </w:r>
    </w:p>
    <w:p w:rsidR="00000000" w:rsidDel="00000000" w:rsidP="00000000" w:rsidRDefault="00000000" w:rsidRPr="00000000" w14:paraId="0000002C">
      <w:pPr>
        <w:shd w:fill="ffffff" w:val="clear"/>
        <w:ind w:left="-135"/>
        <w:rPr>
          <w:color w:val="000000"/>
          <w:sz w:val="22"/>
          <w:szCs w:val="22"/>
        </w:rPr>
      </w:pPr>
      <w:r w:rsidDel="00000000" w:rsidR="00000000" w:rsidRPr="00000000">
        <w:rPr>
          <w:color w:val="000000"/>
          <w:sz w:val="22"/>
          <w:szCs w:val="22"/>
          <w:rtl w:val="0"/>
        </w:rPr>
        <w:t xml:space="preserve">Any violations of this policy will result in disciplinary action that may include but is not limited to termination of employment for Accountability Lab employees and termination of the relationship with Accountability Lab for non-employees.</w:t>
      </w:r>
    </w:p>
    <w:p w:rsidR="00000000" w:rsidDel="00000000" w:rsidP="00000000" w:rsidRDefault="00000000" w:rsidRPr="00000000" w14:paraId="0000002D">
      <w:pPr>
        <w:shd w:fill="ffffff" w:val="clear"/>
        <w:ind w:left="-135"/>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2E">
      <w:pPr>
        <w:shd w:fill="ffffff" w:val="clear"/>
        <w:ind w:left="-135"/>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The Accountability Lab prohibits retaliation against any employee who reports any violation of this policy or who cooperates with any investigation of such reports. Employees who engage in any retaliation or other violation will be subject to corrective action up to and including termination of employment and reporting to local authorities as appropriate. Any supplier or supplier personnel engages in any prohibited activities, fails to report suspicious activities, or engages in retaliatory actions will be subject to action including termination of the business relationship and reporting as appropriate.</w:t>
      </w:r>
    </w:p>
    <w:p w:rsidR="00000000" w:rsidDel="00000000" w:rsidP="00000000" w:rsidRDefault="00000000" w:rsidRPr="00000000" w14:paraId="0000002F">
      <w:pPr>
        <w:shd w:fill="ffffff" w:val="clear"/>
        <w:ind w:left="-135"/>
        <w:rPr>
          <w:color w:val="000000"/>
          <w:sz w:val="22"/>
          <w:szCs w:val="22"/>
        </w:rPr>
      </w:pPr>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Key Definitions</w:t>
      </w:r>
      <w:r w:rsidDel="00000000" w:rsidR="00000000" w:rsidRPr="00000000">
        <w:rPr>
          <w:rtl w:val="0"/>
        </w:rPr>
      </w:r>
    </w:p>
    <w:p w:rsidR="00000000" w:rsidDel="00000000" w:rsidP="00000000" w:rsidRDefault="00000000" w:rsidRPr="00000000" w14:paraId="00000031">
      <w:pPr>
        <w:keepNext w:val="0"/>
        <w:keepLines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225" w:right="0" w:hanging="360"/>
        <w:jc w:val="left"/>
        <w:rPr>
          <w:rFonts w:ascii="Noto Sans Symbols" w:cs="Noto Sans Symbols" w:eastAsia="Noto Sans Symbols" w:hAnsi="Noto Sans Symbols"/>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Bonded labor or debt bondage: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 use of a debt or other threats of financial harm as a form of coercion. Some workers inherit debt, others fall victim to traffickers or recruiters who unlawfully exploit an initial debt assumed as a term of employment.</w:t>
      </w:r>
      <w:r w:rsidDel="00000000" w:rsidR="00000000" w:rsidRPr="00000000">
        <w:rPr>
          <w:rtl w:val="0"/>
        </w:rPr>
      </w:r>
    </w:p>
    <w:p w:rsidR="00000000" w:rsidDel="00000000" w:rsidP="00000000" w:rsidRDefault="00000000" w:rsidRPr="00000000" w14:paraId="00000032">
      <w:pPr>
        <w:keepNext w:val="0"/>
        <w:keepLines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225" w:right="0" w:hanging="360"/>
        <w:jc w:val="left"/>
        <w:rPr>
          <w:rFonts w:ascii="Noto Sans Symbols" w:cs="Noto Sans Symbols" w:eastAsia="Noto Sans Symbols" w:hAnsi="Noto Sans Symbols"/>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Commercial sex act: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sex act on account of which anything of value is given to or received by any person.</w:t>
      </w:r>
      <w:r w:rsidDel="00000000" w:rsidR="00000000" w:rsidRPr="00000000">
        <w:rPr>
          <w:rtl w:val="0"/>
        </w:rPr>
      </w:r>
    </w:p>
    <w:p w:rsidR="00000000" w:rsidDel="00000000" w:rsidP="00000000" w:rsidRDefault="00000000" w:rsidRPr="00000000" w14:paraId="00000033">
      <w:pPr>
        <w:keepNext w:val="0"/>
        <w:keepLines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225" w:right="0" w:hanging="360"/>
        <w:jc w:val="left"/>
        <w:rPr>
          <w:rFonts w:ascii="Noto Sans Symbols" w:cs="Noto Sans Symbols" w:eastAsia="Noto Sans Symbols" w:hAnsi="Noto Sans Symbols"/>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Forced labor: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Situations in which persons are coerced to work through the use of violence or intimidation or by more subtle means, such as accumulated debt, retention of identity papers, or threats of denunciation to immigration authorities.</w:t>
      </w:r>
      <w:r w:rsidDel="00000000" w:rsidR="00000000" w:rsidRPr="00000000">
        <w:rPr>
          <w:rtl w:val="0"/>
        </w:rPr>
      </w:r>
    </w:p>
    <w:p w:rsidR="00000000" w:rsidDel="00000000" w:rsidP="00000000" w:rsidRDefault="00000000" w:rsidRPr="00000000" w14:paraId="00000034">
      <w:pPr>
        <w:keepNext w:val="0"/>
        <w:keepLines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225" w:right="0" w:hanging="360"/>
        <w:jc w:val="left"/>
        <w:rPr>
          <w:rFonts w:ascii="Noto Sans Symbols" w:cs="Noto Sans Symbols" w:eastAsia="Noto Sans Symbols" w:hAnsi="Noto Sans Symbols"/>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Human trafficking: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Human trafficking means recruiting, harboring, transporting, providing, or obtaining a person for labor or services through the use of force, fraud, coercion, abduction, deception, the abuse of power or of a position of vulnerability, or the giving or receiving of payments or benefits to achieve the consent of a person having control over another person for the purpose of exploitation. Exploitation includes involuntary servitude, peonage, debt bondage or slavery, the removal of organs, and sex trafficking or other forms of exploitation.</w:t>
      </w:r>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135"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135"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Anti-Trafficking in Persons Compliance Plan</w:t>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13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rPr>
          <w:rFonts w:ascii="Calibri" w:cs="Calibri" w:eastAsia="Calibri" w:hAnsi="Calibri"/>
          <w:color w:val="000000"/>
        </w:rPr>
      </w:pPr>
      <w:r w:rsidDel="00000000" w:rsidR="00000000" w:rsidRPr="00000000">
        <w:rPr>
          <w:rFonts w:ascii="Calibri" w:cs="Calibri" w:eastAsia="Calibri" w:hAnsi="Calibri"/>
          <w:color w:val="000000"/>
          <w:sz w:val="22"/>
          <w:szCs w:val="22"/>
          <w:rtl w:val="0"/>
        </w:rPr>
        <w:t xml:space="preserve">The Accountability Lab has a zero-tolerance policy regarding any employees, consultants, volunteers, or third party or any person who works with the Accountability Lab in any country and at any level engaging in any form of trafficking in persons or forced labor.</w:t>
      </w: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39">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A">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This compliance plan conforms to our funders’ requirements and establishes Accountability Lab’s procedures for preventing trafficking in persons through awareness, reporting, recruitment and wage plans, housing plans, and sub-award and Country Office compliance.  </w:t>
      </w:r>
    </w:p>
    <w:p w:rsidR="00000000" w:rsidDel="00000000" w:rsidP="00000000" w:rsidRDefault="00000000" w:rsidRPr="00000000" w14:paraId="0000003B">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C">
      <w:pPr>
        <w:rPr>
          <w:b w:val="1"/>
          <w:sz w:val="22"/>
          <w:szCs w:val="22"/>
        </w:rPr>
      </w:pPr>
      <w:r w:rsidDel="00000000" w:rsidR="00000000" w:rsidRPr="00000000">
        <w:rPr>
          <w:b w:val="1"/>
          <w:sz w:val="22"/>
          <w:szCs w:val="22"/>
          <w:rtl w:val="0"/>
        </w:rPr>
        <w:t xml:space="preserve">Awareness Efforts</w:t>
      </w:r>
    </w:p>
    <w:p w:rsidR="00000000" w:rsidDel="00000000" w:rsidP="00000000" w:rsidRDefault="00000000" w:rsidRPr="00000000" w14:paraId="0000003D">
      <w:pPr>
        <w:rPr>
          <w:sz w:val="22"/>
          <w:szCs w:val="22"/>
        </w:rPr>
      </w:pPr>
      <w:r w:rsidDel="00000000" w:rsidR="00000000" w:rsidRPr="00000000">
        <w:rPr>
          <w:sz w:val="22"/>
          <w:szCs w:val="22"/>
          <w:rtl w:val="0"/>
        </w:rPr>
        <w:t xml:space="preserve">Accountability Lab’s Combating Trafficking in Persons Policy (policy) reflects all of the requirements stemming from our contractual and ethical obligations to the people we serve.  The policy has been incorporated into Accountability Lab’s Code of Ethics.  </w:t>
      </w:r>
    </w:p>
    <w:p w:rsidR="00000000" w:rsidDel="00000000" w:rsidP="00000000" w:rsidRDefault="00000000" w:rsidRPr="00000000" w14:paraId="0000003E">
      <w:pPr>
        <w:rPr>
          <w:sz w:val="22"/>
          <w:szCs w:val="22"/>
        </w:rPr>
      </w:pPr>
      <w:r w:rsidDel="00000000" w:rsidR="00000000" w:rsidRPr="00000000">
        <w:rPr>
          <w:rtl w:val="0"/>
        </w:rPr>
      </w:r>
    </w:p>
    <w:p w:rsidR="00000000" w:rsidDel="00000000" w:rsidP="00000000" w:rsidRDefault="00000000" w:rsidRPr="00000000" w14:paraId="0000003F">
      <w:pPr>
        <w:rPr>
          <w:sz w:val="22"/>
          <w:szCs w:val="22"/>
        </w:rPr>
      </w:pPr>
      <w:r w:rsidDel="00000000" w:rsidR="00000000" w:rsidRPr="00000000">
        <w:rPr>
          <w:sz w:val="22"/>
          <w:szCs w:val="22"/>
          <w:rtl w:val="0"/>
        </w:rPr>
        <w:t xml:space="preserve">All Accountability Lab staff have been informed via email of the trafficking-related prohibitions and actions that will be taken for violations. All Accountability Lab staff have access to our policy, plans, and related materials on our intranet and through posters and informational sheets in all field and headquarters offices.</w:t>
      </w:r>
    </w:p>
    <w:p w:rsidR="00000000" w:rsidDel="00000000" w:rsidP="00000000" w:rsidRDefault="00000000" w:rsidRPr="00000000" w14:paraId="00000040">
      <w:pPr>
        <w:rPr>
          <w:sz w:val="22"/>
          <w:szCs w:val="22"/>
        </w:rPr>
      </w:pPr>
      <w:r w:rsidDel="00000000" w:rsidR="00000000" w:rsidRPr="00000000">
        <w:rPr>
          <w:rtl w:val="0"/>
        </w:rPr>
      </w:r>
    </w:p>
    <w:p w:rsidR="00000000" w:rsidDel="00000000" w:rsidP="00000000" w:rsidRDefault="00000000" w:rsidRPr="00000000" w14:paraId="00000041">
      <w:pPr>
        <w:rPr>
          <w:sz w:val="22"/>
          <w:szCs w:val="22"/>
        </w:rPr>
      </w:pPr>
      <w:r w:rsidDel="00000000" w:rsidR="00000000" w:rsidRPr="00000000">
        <w:rPr>
          <w:sz w:val="22"/>
          <w:szCs w:val="22"/>
          <w:rtl w:val="0"/>
        </w:rPr>
        <w:t xml:space="preserve">The Accountability Lab conducts compliance training for all staff approximately annually and as new staff are hired throughout the year as a component of Accountability Lab’s Code of Ethics training. This training certifies that staff understand trafficking issues and agree to comply with the policies, procedures, and principles of Accountability Lab’s Combating Trafficking in Persons Policy, including the reporting any violations of which they are aware. Such compliance training is targeted and customized for various corporate and field offices as appropriate for the nature and scope of the activities to be performed.</w:t>
      </w:r>
    </w:p>
    <w:p w:rsidR="00000000" w:rsidDel="00000000" w:rsidP="00000000" w:rsidRDefault="00000000" w:rsidRPr="00000000" w14:paraId="00000042">
      <w:pPr>
        <w:rPr>
          <w:sz w:val="22"/>
          <w:szCs w:val="22"/>
        </w:rPr>
      </w:pPr>
      <w:r w:rsidDel="00000000" w:rsidR="00000000" w:rsidRPr="00000000">
        <w:rPr>
          <w:rtl w:val="0"/>
        </w:rPr>
      </w:r>
    </w:p>
    <w:p w:rsidR="00000000" w:rsidDel="00000000" w:rsidP="00000000" w:rsidRDefault="00000000" w:rsidRPr="00000000" w14:paraId="00000043">
      <w:pPr>
        <w:shd w:fill="ffffff" w:val="clear"/>
        <w:rPr>
          <w:rFonts w:ascii="Times New Roman" w:cs="Times New Roman" w:eastAsia="Times New Roman" w:hAnsi="Times New Roman"/>
        </w:rPr>
      </w:pPr>
      <w:r w:rsidDel="00000000" w:rsidR="00000000" w:rsidRPr="00000000">
        <w:rPr>
          <w:rFonts w:ascii="Calibri" w:cs="Calibri" w:eastAsia="Calibri" w:hAnsi="Calibri"/>
          <w:b w:val="1"/>
          <w:color w:val="000000"/>
          <w:rtl w:val="0"/>
        </w:rPr>
        <w:t xml:space="preserve">Recruitment and Wage Plan</w:t>
      </w:r>
      <w:r w:rsidDel="00000000" w:rsidR="00000000" w:rsidRPr="00000000">
        <w:rPr>
          <w:rtl w:val="0"/>
        </w:rPr>
      </w:r>
    </w:p>
    <w:p w:rsidR="00000000" w:rsidDel="00000000" w:rsidP="00000000" w:rsidRDefault="00000000" w:rsidRPr="00000000" w14:paraId="0000004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5">
      <w:pPr>
        <w:rPr>
          <w:sz w:val="22"/>
          <w:szCs w:val="22"/>
        </w:rPr>
      </w:pPr>
      <w:r w:rsidDel="00000000" w:rsidR="00000000" w:rsidRPr="00000000">
        <w:rPr>
          <w:sz w:val="22"/>
          <w:szCs w:val="22"/>
          <w:rtl w:val="0"/>
        </w:rPr>
        <w:t xml:space="preserve">To the extent that Accountability Lab uses recruitment companies, only recruitment companies with trained employees may be used, no recruitment fees may be charged to employees, and all wages must meet applicable cooperating country legal requirements.</w:t>
      </w:r>
    </w:p>
    <w:p w:rsidR="00000000" w:rsidDel="00000000" w:rsidP="00000000" w:rsidRDefault="00000000" w:rsidRPr="00000000" w14:paraId="00000046">
      <w:pPr>
        <w:rPr>
          <w:sz w:val="22"/>
          <w:szCs w:val="22"/>
        </w:rPr>
      </w:pPr>
      <w:r w:rsidDel="00000000" w:rsidR="00000000" w:rsidRPr="00000000">
        <w:rPr>
          <w:sz w:val="22"/>
          <w:szCs w:val="22"/>
          <w:rtl w:val="0"/>
        </w:rPr>
        <w:t xml:space="preserve">Accountability Lab prohibits destroying, concealing, confiscating, or otherwise denying any employee access to her or his immigration documents.</w:t>
      </w:r>
    </w:p>
    <w:p w:rsidR="00000000" w:rsidDel="00000000" w:rsidP="00000000" w:rsidRDefault="00000000" w:rsidRPr="00000000" w14:paraId="00000047">
      <w:pPr>
        <w:rPr>
          <w:sz w:val="22"/>
          <w:szCs w:val="22"/>
        </w:rPr>
      </w:pPr>
      <w:r w:rsidDel="00000000" w:rsidR="00000000" w:rsidRPr="00000000">
        <w:rPr>
          <w:rtl w:val="0"/>
        </w:rPr>
      </w:r>
    </w:p>
    <w:p w:rsidR="00000000" w:rsidDel="00000000" w:rsidP="00000000" w:rsidRDefault="00000000" w:rsidRPr="00000000" w14:paraId="00000048">
      <w:pPr>
        <w:rPr>
          <w:b w:val="1"/>
          <w:sz w:val="22"/>
          <w:szCs w:val="22"/>
        </w:rPr>
      </w:pPr>
      <w:r w:rsidDel="00000000" w:rsidR="00000000" w:rsidRPr="00000000">
        <w:rPr>
          <w:b w:val="1"/>
          <w:sz w:val="22"/>
          <w:szCs w:val="22"/>
          <w:rtl w:val="0"/>
        </w:rPr>
        <w:t xml:space="preserve">Country Office Plans</w:t>
      </w:r>
    </w:p>
    <w:p w:rsidR="00000000" w:rsidDel="00000000" w:rsidP="00000000" w:rsidRDefault="00000000" w:rsidRPr="00000000" w14:paraId="00000049">
      <w:pPr>
        <w:rPr>
          <w:sz w:val="22"/>
          <w:szCs w:val="22"/>
        </w:rPr>
      </w:pPr>
      <w:r w:rsidDel="00000000" w:rsidR="00000000" w:rsidRPr="00000000">
        <w:rPr>
          <w:sz w:val="22"/>
          <w:szCs w:val="22"/>
          <w:rtl w:val="0"/>
        </w:rPr>
        <w:t xml:space="preserve">Accountability Lab country offices will develop and implement country plans that address award-specific challenges and reflect any unique country context in combating trafficking in persons, as needed.</w:t>
      </w:r>
    </w:p>
    <w:p w:rsidR="00000000" w:rsidDel="00000000" w:rsidP="00000000" w:rsidRDefault="00000000" w:rsidRPr="00000000" w14:paraId="0000004A">
      <w:pPr>
        <w:rPr>
          <w:sz w:val="22"/>
          <w:szCs w:val="22"/>
        </w:rPr>
      </w:pPr>
      <w:r w:rsidDel="00000000" w:rsidR="00000000" w:rsidRPr="00000000">
        <w:rPr>
          <w:rtl w:val="0"/>
        </w:rPr>
      </w:r>
    </w:p>
    <w:p w:rsidR="00000000" w:rsidDel="00000000" w:rsidP="00000000" w:rsidRDefault="00000000" w:rsidRPr="00000000" w14:paraId="0000004B">
      <w:pPr>
        <w:rPr>
          <w:sz w:val="22"/>
          <w:szCs w:val="22"/>
        </w:rPr>
      </w:pPr>
      <w:r w:rsidDel="00000000" w:rsidR="00000000" w:rsidRPr="00000000">
        <w:rPr>
          <w:rtl w:val="0"/>
        </w:rPr>
      </w:r>
    </w:p>
    <w:p w:rsidR="00000000" w:rsidDel="00000000" w:rsidP="00000000" w:rsidRDefault="00000000" w:rsidRPr="00000000" w14:paraId="0000004C">
      <w:pPr>
        <w:rPr>
          <w:sz w:val="22"/>
          <w:szCs w:val="22"/>
        </w:rPr>
      </w:pPr>
      <w:r w:rsidDel="00000000" w:rsidR="00000000" w:rsidRPr="00000000">
        <w:rPr>
          <w:rtl w:val="0"/>
        </w:rPr>
      </w:r>
    </w:p>
    <w:p w:rsidR="00000000" w:rsidDel="00000000" w:rsidP="00000000" w:rsidRDefault="00000000" w:rsidRPr="00000000" w14:paraId="0000004D">
      <w:pPr>
        <w:rPr>
          <w:b w:val="1"/>
          <w:sz w:val="22"/>
          <w:szCs w:val="22"/>
        </w:rPr>
      </w:pPr>
      <w:r w:rsidDel="00000000" w:rsidR="00000000" w:rsidRPr="00000000">
        <w:rPr>
          <w:b w:val="1"/>
          <w:sz w:val="22"/>
          <w:szCs w:val="22"/>
          <w:rtl w:val="0"/>
        </w:rPr>
        <w:t xml:space="preserve">Related Resources</w:t>
      </w:r>
    </w:p>
    <w:p w:rsidR="00000000" w:rsidDel="00000000" w:rsidP="00000000" w:rsidRDefault="00000000" w:rsidRPr="00000000" w14:paraId="0000004E">
      <w:pPr>
        <w:keepNext w:val="0"/>
        <w:keepLines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630" w:right="0" w:hanging="360"/>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U.S. Presidential Executive Order 13627: </w:t>
      </w:r>
      <w:hyperlink r:id="rId17">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https://www.gpo.gov/fdsys/pkg/DCPD-201200750/pdf/DCPD-201200750.pdf</w:t>
        </w:r>
      </w:hyperlink>
      <w:r w:rsidDel="00000000" w:rsidR="00000000" w:rsidRPr="00000000">
        <w:rPr>
          <w:rtl w:val="0"/>
        </w:rPr>
      </w:r>
    </w:p>
    <w:p w:rsidR="00000000" w:rsidDel="00000000" w:rsidP="00000000" w:rsidRDefault="00000000" w:rsidRPr="00000000" w14:paraId="0000004F">
      <w:pPr>
        <w:keepNext w:val="0"/>
        <w:keepLines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630" w:right="0" w:hanging="360"/>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hyperlink r:id="rId18">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USAID ADS 303: </w:t>
        </w:r>
      </w:hyperlink>
      <w:hyperlink r:id="rId19">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https://www.usaid.gov/sites/default/files/documents/1868/303maa.pdf</w:t>
        </w:r>
      </w:hyperlink>
      <w:r w:rsidDel="00000000" w:rsidR="00000000" w:rsidRPr="00000000">
        <w:rPr>
          <w:rtl w:val="0"/>
        </w:rPr>
      </w:r>
    </w:p>
    <w:p w:rsidR="00000000" w:rsidDel="00000000" w:rsidP="00000000" w:rsidRDefault="00000000" w:rsidRPr="00000000" w14:paraId="00000050">
      <w:pPr>
        <w:keepNext w:val="0"/>
        <w:keepLines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630" w:right="0" w:hanging="360"/>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hyperlink r:id="rId20">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U.S. Government Combating Trafficking in Persons Regulations:</w:t>
        </w:r>
      </w:hyperlink>
      <w:r w:rsidDel="00000000" w:rsidR="00000000" w:rsidRPr="00000000">
        <w:rPr>
          <w:rtl w:val="0"/>
        </w:rPr>
      </w:r>
    </w:p>
    <w:p w:rsidR="00000000" w:rsidDel="00000000" w:rsidP="00000000" w:rsidRDefault="00000000" w:rsidRPr="00000000" w14:paraId="00000051">
      <w:pPr>
        <w:keepNext w:val="0"/>
        <w:keepLines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630" w:right="0" w:hanging="360"/>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hyperlink r:id="rId21">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FAR 55.17: https://www.acquisition.gov/?q=/browse/far/22</w:t>
        </w:r>
      </w:hyperlink>
      <w:r w:rsidDel="00000000" w:rsidR="00000000" w:rsidRPr="00000000">
        <w:rPr>
          <w:rtl w:val="0"/>
        </w:rPr>
      </w:r>
    </w:p>
    <w:p w:rsidR="00000000" w:rsidDel="00000000" w:rsidP="00000000" w:rsidRDefault="00000000" w:rsidRPr="00000000" w14:paraId="00000052">
      <w:pPr>
        <w:keepNext w:val="0"/>
        <w:keepLines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630" w:right="0" w:hanging="360"/>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FAR 52.222-50: </w:t>
      </w:r>
      <w:hyperlink r:id="rId22">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https://www.acquisition.gov/?q=/browse/far/52</w:t>
        </w:r>
      </w:hyperlink>
      <w:r w:rsidDel="00000000" w:rsidR="00000000" w:rsidRPr="00000000">
        <w:rPr>
          <w:rtl w:val="0"/>
        </w:rPr>
      </w:r>
    </w:p>
    <w:p w:rsidR="00000000" w:rsidDel="00000000" w:rsidP="00000000" w:rsidRDefault="00000000" w:rsidRPr="00000000" w14:paraId="00000053">
      <w:pPr>
        <w:keepNext w:val="0"/>
        <w:keepLines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630" w:right="0" w:hanging="360"/>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FAR 52.222-56: </w:t>
      </w:r>
      <w:hyperlink r:id="rId23">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https://www.acquisition.gov/?q=/browse/far/52</w:t>
        </w:r>
      </w:hyperlink>
      <w:r w:rsidDel="00000000" w:rsidR="00000000" w:rsidRPr="00000000">
        <w:rPr>
          <w:rtl w:val="0"/>
        </w:rPr>
      </w:r>
    </w:p>
    <w:p w:rsidR="00000000" w:rsidDel="00000000" w:rsidP="00000000" w:rsidRDefault="00000000" w:rsidRPr="00000000" w14:paraId="00000054">
      <w:pPr>
        <w:keepNext w:val="0"/>
        <w:keepLines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630" w:right="0" w:hanging="360"/>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USAID Counter Trafficking in Persons Field Guide: </w:t>
      </w:r>
      <w:hyperlink r:id="rId24">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https://www.usaid.gov/sites/default/files/documents/2496/C-TIP_Field_Guide_Final_April%205%202013.pdf</w:t>
        </w:r>
      </w:hyperlink>
      <w:r w:rsidDel="00000000" w:rsidR="00000000" w:rsidRPr="00000000">
        <w:rPr>
          <w:rtl w:val="0"/>
        </w:rPr>
      </w:r>
    </w:p>
    <w:p w:rsidR="00000000" w:rsidDel="00000000" w:rsidP="00000000" w:rsidRDefault="00000000" w:rsidRPr="00000000" w14:paraId="00000055">
      <w:pPr>
        <w:keepNext w:val="0"/>
        <w:keepLines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630" w:right="0" w:hanging="360"/>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U.K. Modern Slavery Act 2015: </w:t>
      </w:r>
      <w:hyperlink r:id="rId25">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http://www.legislation.gov.uk/ukpga/2015/30/contents/enacted</w:t>
        </w:r>
      </w:hyperlink>
      <w:r w:rsidDel="00000000" w:rsidR="00000000" w:rsidRPr="00000000">
        <w:rPr>
          <w:rtl w:val="0"/>
        </w:rPr>
      </w:r>
    </w:p>
    <w:p w:rsidR="00000000" w:rsidDel="00000000" w:rsidP="00000000" w:rsidRDefault="00000000" w:rsidRPr="00000000" w14:paraId="0000005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63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Accountability Lab’s Anti-Trafficking in Persons Compliance Plan Template</w:t>
        <w:br w:type="textWrapping"/>
      </w:r>
      <w:r w:rsidDel="00000000" w:rsidR="00000000" w:rsidRPr="00000000">
        <w:rPr>
          <w:rtl w:val="0"/>
        </w:rPr>
      </w:r>
    </w:p>
    <w:p w:rsidR="00000000" w:rsidDel="00000000" w:rsidP="00000000" w:rsidRDefault="00000000" w:rsidRPr="00000000" w14:paraId="00000057">
      <w:pPr>
        <w:rPr>
          <w:b w:val="1"/>
          <w:sz w:val="22"/>
          <w:szCs w:val="22"/>
        </w:rPr>
      </w:pPr>
      <w:r w:rsidDel="00000000" w:rsidR="00000000" w:rsidRPr="00000000">
        <w:rPr>
          <w:b w:val="1"/>
          <w:sz w:val="22"/>
          <w:szCs w:val="22"/>
          <w:rtl w:val="0"/>
        </w:rPr>
        <w:t xml:space="preserve">Questions</w:t>
      </w:r>
    </w:p>
    <w:p w:rsidR="00000000" w:rsidDel="00000000" w:rsidP="00000000" w:rsidRDefault="00000000" w:rsidRPr="00000000" w14:paraId="00000058">
      <w:pPr>
        <w:rPr>
          <w:sz w:val="22"/>
          <w:szCs w:val="22"/>
        </w:rPr>
      </w:pPr>
      <w:r w:rsidDel="00000000" w:rsidR="00000000" w:rsidRPr="00000000">
        <w:rPr>
          <w:sz w:val="22"/>
          <w:szCs w:val="22"/>
          <w:rtl w:val="0"/>
        </w:rPr>
        <w:t xml:space="preserve">Questions regarding Accountability Lab’s Combating Trafficking in Persons Policy and this compliance plan may be directed to Accountability Lab’s ethics hotline at https://Accountability Lab.ethicaladvocate.com/ or to a Country Director or Chief of Party as appropriate.</w:t>
      </w:r>
    </w:p>
    <w:p w:rsidR="00000000" w:rsidDel="00000000" w:rsidP="00000000" w:rsidRDefault="00000000" w:rsidRPr="00000000" w14:paraId="00000059">
      <w:pPr>
        <w:rPr>
          <w:sz w:val="22"/>
          <w:szCs w:val="22"/>
        </w:rPr>
      </w:pPr>
      <w:r w:rsidDel="00000000" w:rsidR="00000000" w:rsidRPr="00000000">
        <w:rPr>
          <w:rtl w:val="0"/>
        </w:rPr>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135"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135"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shd w:fill="ffffff" w:val="clear"/>
        <w:ind w:left="-135"/>
        <w:rPr>
          <w:color w:val="000000"/>
          <w:sz w:val="22"/>
          <w:szCs w:val="22"/>
        </w:rPr>
      </w:pPr>
      <w:r w:rsidDel="00000000" w:rsidR="00000000" w:rsidRPr="00000000">
        <w:rPr>
          <w:rtl w:val="0"/>
        </w:rPr>
      </w:r>
    </w:p>
    <w:p w:rsidR="00000000" w:rsidDel="00000000" w:rsidP="00000000" w:rsidRDefault="00000000" w:rsidRPr="00000000" w14:paraId="0000005D">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5E">
      <w:pPr>
        <w:shd w:fill="ffffff" w:val="clear"/>
        <w:ind w:left="-135"/>
        <w:rPr>
          <w:color w:val="000000"/>
          <w:sz w:val="22"/>
          <w:szCs w:val="22"/>
        </w:rPr>
      </w:pPr>
      <w:r w:rsidDel="00000000" w:rsidR="00000000" w:rsidRPr="00000000">
        <w:rPr>
          <w:rtl w:val="0"/>
        </w:rPr>
      </w:r>
    </w:p>
    <w:p w:rsidR="00000000" w:rsidDel="00000000" w:rsidP="00000000" w:rsidRDefault="00000000" w:rsidRPr="00000000" w14:paraId="0000005F">
      <w:pPr>
        <w:shd w:fill="ffffff" w:val="clear"/>
        <w:ind w:left="-135"/>
        <w:rPr>
          <w:color w:val="000000"/>
          <w:sz w:val="22"/>
          <w:szCs w:val="22"/>
        </w:rPr>
      </w:pPr>
      <w:r w:rsidDel="00000000" w:rsidR="00000000" w:rsidRPr="00000000">
        <w:rPr>
          <w:rtl w:val="0"/>
        </w:rPr>
      </w:r>
    </w:p>
    <w:p w:rsidR="00000000" w:rsidDel="00000000" w:rsidP="00000000" w:rsidRDefault="00000000" w:rsidRPr="00000000" w14:paraId="00000060">
      <w:pPr>
        <w:rPr>
          <w:sz w:val="22"/>
          <w:szCs w:val="22"/>
        </w:rPr>
      </w:pPr>
      <w:r w:rsidDel="00000000" w:rsidR="00000000" w:rsidRPr="00000000">
        <w:rPr>
          <w:rtl w:val="0"/>
        </w:rPr>
      </w:r>
    </w:p>
    <w:p w:rsidR="00000000" w:rsidDel="00000000" w:rsidP="00000000" w:rsidRDefault="00000000" w:rsidRPr="00000000" w14:paraId="00000061">
      <w:pPr>
        <w:rPr>
          <w:sz w:val="22"/>
          <w:szCs w:val="22"/>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630" w:hanging="360"/>
      </w:pPr>
      <w:rPr>
        <w:rFonts w:ascii="Noto Sans Symbols" w:cs="Noto Sans Symbols" w:eastAsia="Noto Sans Symbols" w:hAnsi="Noto Sans Symbols"/>
        <w:sz w:val="20"/>
        <w:szCs w:val="20"/>
      </w:rPr>
    </w:lvl>
    <w:lvl w:ilvl="1">
      <w:start w:val="1"/>
      <w:numFmt w:val="bullet"/>
      <w:lvlText w:val="●"/>
      <w:lvlJc w:val="left"/>
      <w:pPr>
        <w:ind w:left="1350" w:hanging="360"/>
      </w:pPr>
      <w:rPr>
        <w:rFonts w:ascii="Noto Sans Symbols" w:cs="Noto Sans Symbols" w:eastAsia="Noto Sans Symbols" w:hAnsi="Noto Sans Symbols"/>
        <w:sz w:val="20"/>
        <w:szCs w:val="20"/>
      </w:rPr>
    </w:lvl>
    <w:lvl w:ilvl="2">
      <w:start w:val="1"/>
      <w:numFmt w:val="bullet"/>
      <w:lvlText w:val="●"/>
      <w:lvlJc w:val="left"/>
      <w:pPr>
        <w:ind w:left="2070" w:hanging="360"/>
      </w:pPr>
      <w:rPr>
        <w:rFonts w:ascii="Noto Sans Symbols" w:cs="Noto Sans Symbols" w:eastAsia="Noto Sans Symbols" w:hAnsi="Noto Sans Symbols"/>
        <w:sz w:val="20"/>
        <w:szCs w:val="20"/>
      </w:rPr>
    </w:lvl>
    <w:lvl w:ilvl="3">
      <w:start w:val="1"/>
      <w:numFmt w:val="bullet"/>
      <w:lvlText w:val="●"/>
      <w:lvlJc w:val="left"/>
      <w:pPr>
        <w:ind w:left="2790" w:hanging="360"/>
      </w:pPr>
      <w:rPr>
        <w:rFonts w:ascii="Noto Sans Symbols" w:cs="Noto Sans Symbols" w:eastAsia="Noto Sans Symbols" w:hAnsi="Noto Sans Symbols"/>
        <w:sz w:val="20"/>
        <w:szCs w:val="20"/>
      </w:rPr>
    </w:lvl>
    <w:lvl w:ilvl="4">
      <w:start w:val="1"/>
      <w:numFmt w:val="bullet"/>
      <w:lvlText w:val="●"/>
      <w:lvlJc w:val="left"/>
      <w:pPr>
        <w:ind w:left="3510" w:hanging="360"/>
      </w:pPr>
      <w:rPr>
        <w:rFonts w:ascii="Noto Sans Symbols" w:cs="Noto Sans Symbols" w:eastAsia="Noto Sans Symbols" w:hAnsi="Noto Sans Symbols"/>
        <w:sz w:val="20"/>
        <w:szCs w:val="20"/>
      </w:rPr>
    </w:lvl>
    <w:lvl w:ilvl="5">
      <w:start w:val="1"/>
      <w:numFmt w:val="bullet"/>
      <w:lvlText w:val="●"/>
      <w:lvlJc w:val="left"/>
      <w:pPr>
        <w:ind w:left="4230" w:hanging="360"/>
      </w:pPr>
      <w:rPr>
        <w:rFonts w:ascii="Noto Sans Symbols" w:cs="Noto Sans Symbols" w:eastAsia="Noto Sans Symbols" w:hAnsi="Noto Sans Symbols"/>
        <w:sz w:val="20"/>
        <w:szCs w:val="20"/>
      </w:rPr>
    </w:lvl>
    <w:lvl w:ilvl="6">
      <w:start w:val="1"/>
      <w:numFmt w:val="bullet"/>
      <w:lvlText w:val="●"/>
      <w:lvlJc w:val="left"/>
      <w:pPr>
        <w:ind w:left="4950" w:hanging="360"/>
      </w:pPr>
      <w:rPr>
        <w:rFonts w:ascii="Noto Sans Symbols" w:cs="Noto Sans Symbols" w:eastAsia="Noto Sans Symbols" w:hAnsi="Noto Sans Symbols"/>
        <w:sz w:val="20"/>
        <w:szCs w:val="20"/>
      </w:rPr>
    </w:lvl>
    <w:lvl w:ilvl="7">
      <w:start w:val="1"/>
      <w:numFmt w:val="bullet"/>
      <w:lvlText w:val="●"/>
      <w:lvlJc w:val="left"/>
      <w:pPr>
        <w:ind w:left="5670" w:hanging="360"/>
      </w:pPr>
      <w:rPr>
        <w:rFonts w:ascii="Noto Sans Symbols" w:cs="Noto Sans Symbols" w:eastAsia="Noto Sans Symbols" w:hAnsi="Noto Sans Symbols"/>
        <w:sz w:val="20"/>
        <w:szCs w:val="20"/>
      </w:rPr>
    </w:lvl>
    <w:lvl w:ilvl="8">
      <w:start w:val="1"/>
      <w:numFmt w:val="bullet"/>
      <w:lvlText w:val="●"/>
      <w:lvlJc w:val="left"/>
      <w:pPr>
        <w:ind w:left="639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1260" w:hanging="360"/>
      </w:pPr>
      <w:rPr>
        <w:rFonts w:ascii="Noto Sans Symbols" w:cs="Noto Sans Symbols" w:eastAsia="Noto Sans Symbols" w:hAnsi="Noto Sans Symbols"/>
        <w:sz w:val="20"/>
        <w:szCs w:val="20"/>
      </w:rPr>
    </w:lvl>
    <w:lvl w:ilvl="1">
      <w:start w:val="1"/>
      <w:numFmt w:val="bullet"/>
      <w:lvlText w:val="●"/>
      <w:lvlJc w:val="left"/>
      <w:pPr>
        <w:ind w:left="1980" w:hanging="360"/>
      </w:pPr>
      <w:rPr>
        <w:rFonts w:ascii="Noto Sans Symbols" w:cs="Noto Sans Symbols" w:eastAsia="Noto Sans Symbols" w:hAnsi="Noto Sans Symbols"/>
        <w:sz w:val="20"/>
        <w:szCs w:val="20"/>
      </w:rPr>
    </w:lvl>
    <w:lvl w:ilvl="2">
      <w:start w:val="1"/>
      <w:numFmt w:val="bullet"/>
      <w:lvlText w:val="●"/>
      <w:lvlJc w:val="left"/>
      <w:pPr>
        <w:ind w:left="2700" w:hanging="360"/>
      </w:pPr>
      <w:rPr>
        <w:rFonts w:ascii="Noto Sans Symbols" w:cs="Noto Sans Symbols" w:eastAsia="Noto Sans Symbols" w:hAnsi="Noto Sans Symbols"/>
        <w:sz w:val="20"/>
        <w:szCs w:val="20"/>
      </w:rPr>
    </w:lvl>
    <w:lvl w:ilvl="3">
      <w:start w:val="1"/>
      <w:numFmt w:val="bullet"/>
      <w:lvlText w:val="●"/>
      <w:lvlJc w:val="left"/>
      <w:pPr>
        <w:ind w:left="3420" w:hanging="360"/>
      </w:pPr>
      <w:rPr>
        <w:rFonts w:ascii="Noto Sans Symbols" w:cs="Noto Sans Symbols" w:eastAsia="Noto Sans Symbols" w:hAnsi="Noto Sans Symbols"/>
        <w:sz w:val="20"/>
        <w:szCs w:val="20"/>
      </w:rPr>
    </w:lvl>
    <w:lvl w:ilvl="4">
      <w:start w:val="1"/>
      <w:numFmt w:val="bullet"/>
      <w:lvlText w:val="●"/>
      <w:lvlJc w:val="left"/>
      <w:pPr>
        <w:ind w:left="4140" w:hanging="360"/>
      </w:pPr>
      <w:rPr>
        <w:rFonts w:ascii="Noto Sans Symbols" w:cs="Noto Sans Symbols" w:eastAsia="Noto Sans Symbols" w:hAnsi="Noto Sans Symbols"/>
        <w:sz w:val="20"/>
        <w:szCs w:val="20"/>
      </w:rPr>
    </w:lvl>
    <w:lvl w:ilvl="5">
      <w:start w:val="1"/>
      <w:numFmt w:val="bullet"/>
      <w:lvlText w:val="●"/>
      <w:lvlJc w:val="left"/>
      <w:pPr>
        <w:ind w:left="4860" w:hanging="360"/>
      </w:pPr>
      <w:rPr>
        <w:rFonts w:ascii="Noto Sans Symbols" w:cs="Noto Sans Symbols" w:eastAsia="Noto Sans Symbols" w:hAnsi="Noto Sans Symbols"/>
        <w:sz w:val="20"/>
        <w:szCs w:val="20"/>
      </w:rPr>
    </w:lvl>
    <w:lvl w:ilvl="6">
      <w:start w:val="1"/>
      <w:numFmt w:val="bullet"/>
      <w:lvlText w:val="●"/>
      <w:lvlJc w:val="left"/>
      <w:pPr>
        <w:ind w:left="5580" w:hanging="360"/>
      </w:pPr>
      <w:rPr>
        <w:rFonts w:ascii="Noto Sans Symbols" w:cs="Noto Sans Symbols" w:eastAsia="Noto Sans Symbols" w:hAnsi="Noto Sans Symbols"/>
        <w:sz w:val="20"/>
        <w:szCs w:val="20"/>
      </w:rPr>
    </w:lvl>
    <w:lvl w:ilvl="7">
      <w:start w:val="1"/>
      <w:numFmt w:val="bullet"/>
      <w:lvlText w:val="●"/>
      <w:lvlJc w:val="left"/>
      <w:pPr>
        <w:ind w:left="6300" w:hanging="360"/>
      </w:pPr>
      <w:rPr>
        <w:rFonts w:ascii="Noto Sans Symbols" w:cs="Noto Sans Symbols" w:eastAsia="Noto Sans Symbols" w:hAnsi="Noto Sans Symbols"/>
        <w:sz w:val="20"/>
        <w:szCs w:val="20"/>
      </w:rPr>
    </w:lvl>
    <w:lvl w:ilvl="8">
      <w:start w:val="1"/>
      <w:numFmt w:val="bullet"/>
      <w:lvlText w:val="●"/>
      <w:lvlJc w:val="left"/>
      <w:pPr>
        <w:ind w:left="702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unhideWhenUsed w:val="1"/>
    <w:rsid w:val="009940CB"/>
    <w:pPr>
      <w:spacing w:after="100" w:afterAutospacing="1" w:before="100" w:beforeAutospacing="1"/>
    </w:pPr>
    <w:rPr>
      <w:rFonts w:ascii="Times New Roman" w:cs="Times New Roman" w:eastAsia="Times New Roman" w:hAnsi="Times New Roman"/>
    </w:rPr>
  </w:style>
  <w:style w:type="character" w:styleId="Hyperlink">
    <w:name w:val="Hyperlink"/>
    <w:basedOn w:val="DefaultParagraphFont"/>
    <w:uiPriority w:val="99"/>
    <w:unhideWhenUsed w:val="1"/>
    <w:rsid w:val="009940CB"/>
    <w:rPr>
      <w:color w:val="0000ff"/>
      <w:u w:val="single"/>
    </w:rPr>
  </w:style>
  <w:style w:type="paragraph" w:styleId="ListParagraph">
    <w:name w:val="List Paragraph"/>
    <w:basedOn w:val="Normal"/>
    <w:uiPriority w:val="34"/>
    <w:qFormat w:val="1"/>
    <w:rsid w:val="00DB7C65"/>
    <w:pPr>
      <w:ind w:left="720"/>
      <w:contextualSpacing w:val="1"/>
    </w:pPr>
  </w:style>
  <w:style w:type="character" w:styleId="UnresolvedMention">
    <w:name w:val="Unresolved Mention"/>
    <w:basedOn w:val="DefaultParagraphFont"/>
    <w:uiPriority w:val="99"/>
    <w:rsid w:val="00DB7C65"/>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www.usaid.gov/sites/default/files/documents/1868/303maa.pdf" TargetMode="External"/><Relationship Id="rId22" Type="http://schemas.openxmlformats.org/officeDocument/2006/relationships/hyperlink" Target="https://www.acquisition.gov/?q=/browse/far/52" TargetMode="External"/><Relationship Id="rId21" Type="http://schemas.openxmlformats.org/officeDocument/2006/relationships/hyperlink" Target="about:blank" TargetMode="External"/><Relationship Id="rId24" Type="http://schemas.openxmlformats.org/officeDocument/2006/relationships/hyperlink" Target="https://www.usaid.gov/sites/default/files/documents/2496/C-TIP_Field_Guide_Final_April%205%202013.pdf" TargetMode="External"/><Relationship Id="rId23" Type="http://schemas.openxmlformats.org/officeDocument/2006/relationships/hyperlink" Target="https://www.acquisition.gov/?q=/browse/far/52"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cquisition.gov/?q=/browse/far/22" TargetMode="External"/><Relationship Id="rId25" Type="http://schemas.openxmlformats.org/officeDocument/2006/relationships/hyperlink" Target="http://www.legislation.gov.uk/ukpga/2015/30/contents/enacted"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gpo.gov/fdsys/pkg/DCPD-201200750/pdf/DCPD-201200750.pdf" TargetMode="External"/><Relationship Id="rId11" Type="http://schemas.openxmlformats.org/officeDocument/2006/relationships/hyperlink" Target="https://www.acquisition.gov/?q=/browse/far/52" TargetMode="External"/><Relationship Id="rId10" Type="http://schemas.openxmlformats.org/officeDocument/2006/relationships/hyperlink" Target="https://www.acquisition.gov/?q=/browse/far/52" TargetMode="External"/><Relationship Id="rId13" Type="http://schemas.openxmlformats.org/officeDocument/2006/relationships/hyperlink" Target="http://www.legislation.gov.uk/ukpga/2015/30/contents/enacted" TargetMode="External"/><Relationship Id="rId12" Type="http://schemas.openxmlformats.org/officeDocument/2006/relationships/hyperlink" Target="https://www.usaid.gov/sites/default/files/documents/1868/303maa.pdf" TargetMode="External"/><Relationship Id="rId15" Type="http://schemas.openxmlformats.org/officeDocument/2006/relationships/hyperlink" Target="about:blank" TargetMode="External"/><Relationship Id="rId14" Type="http://schemas.openxmlformats.org/officeDocument/2006/relationships/hyperlink" Target="https://pactworld.jiveon.com/docs/DOC-3058" TargetMode="External"/><Relationship Id="rId17" Type="http://schemas.openxmlformats.org/officeDocument/2006/relationships/hyperlink" Target="https://www.gpo.gov/fdsys/pkg/DCPD-201200750/pdf/DCPD-201200750.pdf" TargetMode="External"/><Relationship Id="rId16" Type="http://schemas.openxmlformats.org/officeDocument/2006/relationships/hyperlink" Target="about:blank" TargetMode="External"/><Relationship Id="rId19" Type="http://schemas.openxmlformats.org/officeDocument/2006/relationships/hyperlink" Target="https://www.usaid.gov/sites/default/files/documents/1868/303maa.pdf" TargetMode="External"/><Relationship Id="rId18"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7236/fJ5cHKGabeZ/dJ4p6HYAw==">AMUW2mXClKJMiAUf5UMMz+u/pZFZN+kd9gjRRkKTCo502+ByHxuQ9Z7A7nLk3EcjB0DqPxs0XZdp+VzUJnfH/JAHuIQ3+fbBxJCAQUNifx912zw/KO3PnFo=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2019-10-31T15:19:00Z</dcterms:created>
  <dc:creator>Sara Hoenes</dc:creator>
</cp:coreProperties>
</file>